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pStyle w:val="108"/>
        <w:ind w:firstLine="0" w:firstLineChars="0"/>
        <w:jc w:val="center"/>
        <w:rPr>
          <w:rFonts w:asciiTheme="minorEastAsia" w:hAnsiTheme="minorEastAsia" w:eastAsiaTheme="minorEastAsia"/>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重庆财经学院</w:t>
      </w:r>
    </w:p>
    <w:p>
      <w:pPr>
        <w:jc w:val="center"/>
        <w:rPr>
          <w:rFonts w:hint="eastAsia"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中新金融科技现代产业学院实验实训中心电脑设备采购项目</w:t>
      </w: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900" w:lineRule="exact"/>
        <w:jc w:val="center"/>
        <w:rPr>
          <w:rFonts w:asciiTheme="minorEastAsia" w:hAnsiTheme="minorEastAsia" w:eastAsiaTheme="minorEastAsia"/>
          <w:b/>
          <w:sz w:val="30"/>
          <w:szCs w:val="30"/>
        </w:rPr>
      </w:pPr>
    </w:p>
    <w:p>
      <w:pPr>
        <w:spacing w:line="276" w:lineRule="auto"/>
        <w:jc w:val="distribute"/>
        <w:rPr>
          <w:rFonts w:hint="eastAsia" w:ascii="方正黑体_GBK" w:hAnsi="方正黑体_GBK" w:eastAsia="方正黑体_GBK" w:cs="方正黑体_GBK"/>
          <w:b/>
          <w:bCs w:val="0"/>
          <w:sz w:val="52"/>
          <w:szCs w:val="52"/>
        </w:rPr>
      </w:pPr>
      <w:r>
        <w:rPr>
          <w:rFonts w:hint="eastAsia" w:ascii="方正黑体_GBK" w:hAnsi="方正黑体_GBK" w:eastAsia="方正黑体_GBK" w:cs="方正黑体_GBK"/>
          <w:b/>
          <w:bCs w:val="0"/>
          <w:sz w:val="52"/>
          <w:szCs w:val="52"/>
        </w:rPr>
        <w:t>招</w:t>
      </w:r>
    </w:p>
    <w:p>
      <w:pPr>
        <w:spacing w:line="276" w:lineRule="auto"/>
        <w:jc w:val="distribute"/>
        <w:rPr>
          <w:rFonts w:hint="eastAsia" w:ascii="方正黑体_GBK" w:hAnsi="方正黑体_GBK" w:eastAsia="方正黑体_GBK" w:cs="方正黑体_GBK"/>
          <w:b/>
          <w:bCs w:val="0"/>
          <w:sz w:val="52"/>
          <w:szCs w:val="52"/>
        </w:rPr>
      </w:pPr>
      <w:r>
        <w:rPr>
          <w:rFonts w:hint="eastAsia" w:ascii="方正黑体_GBK" w:hAnsi="方正黑体_GBK" w:eastAsia="方正黑体_GBK" w:cs="方正黑体_GBK"/>
          <w:b/>
          <w:bCs w:val="0"/>
          <w:sz w:val="52"/>
          <w:szCs w:val="52"/>
        </w:rPr>
        <w:t>标</w:t>
      </w:r>
    </w:p>
    <w:p>
      <w:pPr>
        <w:spacing w:line="276" w:lineRule="auto"/>
        <w:jc w:val="distribute"/>
        <w:rPr>
          <w:rFonts w:hint="eastAsia" w:ascii="方正黑体_GBK" w:hAnsi="方正黑体_GBK" w:eastAsia="方正黑体_GBK" w:cs="方正黑体_GBK"/>
          <w:b/>
          <w:bCs w:val="0"/>
          <w:sz w:val="52"/>
          <w:szCs w:val="52"/>
        </w:rPr>
      </w:pPr>
      <w:r>
        <w:rPr>
          <w:rFonts w:hint="eastAsia" w:ascii="方正黑体_GBK" w:hAnsi="方正黑体_GBK" w:eastAsia="方正黑体_GBK" w:cs="方正黑体_GBK"/>
          <w:b/>
          <w:bCs w:val="0"/>
          <w:sz w:val="52"/>
          <w:szCs w:val="52"/>
        </w:rPr>
        <w:t>文</w:t>
      </w:r>
    </w:p>
    <w:p>
      <w:pPr>
        <w:spacing w:line="276" w:lineRule="auto"/>
        <w:jc w:val="distribute"/>
        <w:rPr>
          <w:rFonts w:hint="eastAsia" w:ascii="方正黑体_GBK" w:hAnsi="方正黑体_GBK" w:eastAsia="方正黑体_GBK" w:cs="方正黑体_GBK"/>
          <w:b/>
          <w:bCs w:val="0"/>
          <w:sz w:val="52"/>
          <w:szCs w:val="52"/>
        </w:rPr>
      </w:pPr>
      <w:r>
        <w:rPr>
          <w:rFonts w:hint="eastAsia" w:ascii="方正黑体_GBK" w:hAnsi="方正黑体_GBK" w:eastAsia="方正黑体_GBK" w:cs="方正黑体_GBK"/>
          <w:b/>
          <w:bCs w:val="0"/>
          <w:sz w:val="52"/>
          <w:szCs w:val="52"/>
        </w:rPr>
        <w:t>件</w:t>
      </w:r>
    </w:p>
    <w:p>
      <w:pPr>
        <w:spacing w:afterLines="50"/>
        <w:rPr>
          <w:rFonts w:asciiTheme="minorEastAsia" w:hAnsiTheme="minorEastAsia" w:eastAsiaTheme="minorEastAsia"/>
          <w:b/>
          <w:sz w:val="72"/>
        </w:rPr>
      </w:pPr>
    </w:p>
    <w:p>
      <w:pPr>
        <w:spacing w:afterLines="50"/>
        <w:rPr>
          <w:rFonts w:asciiTheme="minorEastAsia" w:hAnsiTheme="minorEastAsia" w:eastAsiaTheme="minorEastAsia"/>
          <w:b/>
          <w:sz w:val="72"/>
        </w:rPr>
      </w:pPr>
    </w:p>
    <w:p>
      <w:pPr>
        <w:spacing w:afterLines="50" w:line="500" w:lineRule="exact"/>
        <w:ind w:firstLine="1985" w:firstLineChars="618"/>
        <w:rPr>
          <w:rFonts w:asciiTheme="minorEastAsia" w:hAnsiTheme="minorEastAsia" w:eastAsiaTheme="minorEastAsia"/>
          <w:b/>
          <w:sz w:val="32"/>
        </w:rPr>
      </w:pPr>
      <w:r>
        <w:rPr>
          <w:rFonts w:hint="eastAsia" w:asciiTheme="minorEastAsia" w:hAnsiTheme="minorEastAsia" w:eastAsiaTheme="minorEastAsia"/>
          <w:b/>
          <w:sz w:val="32"/>
        </w:rPr>
        <w:t>招标人：重庆财经学院</w:t>
      </w:r>
    </w:p>
    <w:p>
      <w:pPr>
        <w:spacing w:afterLines="50" w:line="500" w:lineRule="exact"/>
        <w:ind w:firstLine="1985" w:firstLineChars="618"/>
        <w:rPr>
          <w:rFonts w:asciiTheme="minorEastAsia" w:hAnsiTheme="minorEastAsia" w:eastAsiaTheme="minorEastAsia"/>
          <w:b/>
          <w:sz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41" w:bottom="1440" w:left="1800" w:header="851" w:footer="992" w:gutter="0"/>
          <w:cols w:space="425" w:num="1"/>
          <w:titlePg/>
          <w:docGrid w:linePitch="312" w:charSpace="0"/>
        </w:sectPr>
      </w:pPr>
      <w:r>
        <w:rPr>
          <w:rFonts w:hint="eastAsia" w:asciiTheme="minorEastAsia" w:hAnsiTheme="minorEastAsia" w:eastAsiaTheme="minorEastAsia"/>
          <w:b/>
          <w:sz w:val="32"/>
        </w:rPr>
        <w:t>招标日期：2022年</w:t>
      </w:r>
      <w:r>
        <w:rPr>
          <w:rFonts w:hint="eastAsia" w:asciiTheme="minorEastAsia" w:hAnsiTheme="minorEastAsia" w:eastAsiaTheme="minorEastAsia"/>
          <w:b/>
          <w:sz w:val="32"/>
          <w:lang w:val="en-US" w:eastAsia="zh-CN"/>
        </w:rPr>
        <w:t>5</w:t>
      </w:r>
      <w:r>
        <w:rPr>
          <w:rFonts w:hint="eastAsia" w:asciiTheme="minorEastAsia" w:hAnsiTheme="minorEastAsia" w:eastAsiaTheme="minorEastAsia"/>
          <w:b/>
          <w:sz w:val="32"/>
        </w:rPr>
        <w:t>月</w:t>
      </w:r>
      <w:r>
        <w:rPr>
          <w:rFonts w:hint="eastAsia" w:asciiTheme="minorEastAsia" w:hAnsiTheme="minorEastAsia" w:eastAsiaTheme="minorEastAsia"/>
          <w:b/>
          <w:sz w:val="32"/>
          <w:lang w:val="en-US" w:eastAsia="zh-CN"/>
        </w:rPr>
        <w:t>2</w:t>
      </w:r>
      <w:r>
        <w:rPr>
          <w:rFonts w:hint="eastAsia" w:asciiTheme="minorEastAsia" w:hAnsiTheme="minorEastAsia" w:eastAsiaTheme="minorEastAsia"/>
          <w:b/>
          <w:sz w:val="32"/>
        </w:rPr>
        <w:t>2日</w:t>
      </w:r>
    </w:p>
    <w:sdt>
      <w:sdtPr>
        <w:rPr>
          <w:rFonts w:hint="eastAsia" w:ascii="宋体" w:hAnsi="宋体" w:eastAsia="宋体" w:cs="宋体"/>
          <w:b/>
          <w:bCs/>
          <w:color w:val="auto"/>
          <w:kern w:val="2"/>
          <w:sz w:val="36"/>
          <w:szCs w:val="36"/>
          <w:lang w:val="zh-CN"/>
        </w:rPr>
        <w:id w:val="99690147"/>
      </w:sdtPr>
      <w:sdtEndPr>
        <w:rPr>
          <w:rFonts w:hint="eastAsia" w:ascii="方正黑体_GBK" w:hAnsi="方正黑体_GBK" w:eastAsia="方正黑体_GBK" w:cs="方正黑体_GBK"/>
          <w:b/>
          <w:bCs w:val="0"/>
          <w:color w:val="auto"/>
          <w:kern w:val="2"/>
          <w:sz w:val="24"/>
          <w:szCs w:val="24"/>
          <w:lang w:val="zh-CN"/>
        </w:rPr>
      </w:sdtEndPr>
      <w:sdtContent>
        <w:p>
          <w:pPr>
            <w:pStyle w:val="194"/>
            <w:jc w:val="center"/>
            <w:rPr>
              <w:rFonts w:hint="eastAsia" w:ascii="宋体" w:hAnsi="宋体" w:eastAsia="宋体" w:cs="宋体"/>
              <w:b/>
              <w:bCs/>
              <w:color w:val="auto"/>
              <w:sz w:val="36"/>
              <w:szCs w:val="36"/>
              <w:lang w:val="zh-CN"/>
            </w:rPr>
          </w:pPr>
          <w:bookmarkStart w:id="0" w:name="_Toc454373082"/>
          <w:bookmarkStart w:id="1" w:name="_Toc425408074"/>
          <w:bookmarkStart w:id="2" w:name="_Toc324175892"/>
          <w:bookmarkStart w:id="3" w:name="_Toc324411350"/>
          <w:r>
            <w:rPr>
              <w:rFonts w:hint="eastAsia" w:ascii="宋体" w:hAnsi="宋体" w:eastAsia="宋体" w:cs="宋体"/>
              <w:b/>
              <w:bCs/>
              <w:color w:val="auto"/>
              <w:sz w:val="36"/>
              <w:szCs w:val="36"/>
              <w:lang w:val="zh-CN"/>
            </w:rPr>
            <w:t>目录</w:t>
          </w:r>
        </w:p>
        <w:p>
          <w:pPr>
            <w:rPr>
              <w:rFonts w:hint="eastAsia"/>
              <w:lang w:val="zh-CN"/>
            </w:rPr>
          </w:pPr>
        </w:p>
        <w:p>
          <w:pPr>
            <w:rPr>
              <w:rFonts w:hint="eastAsia"/>
            </w:rPr>
          </w:pPr>
        </w:p>
        <w:p>
          <w:pPr>
            <w:pStyle w:val="29"/>
            <w:tabs>
              <w:tab w:val="right" w:leader="dot" w:pos="8255"/>
            </w:tabs>
            <w:rPr>
              <w:rStyle w:val="48"/>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TOC \o "1-3" \h \z \u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"_Toc531594733"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第一章 招标公告</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_Toc531594733 \h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3</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pStyle w:val="29"/>
            <w:tabs>
              <w:tab w:val="right" w:leader="dot" w:pos="8255"/>
            </w:tabs>
            <w:rPr>
              <w:rStyle w:val="48"/>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"_Toc531594734"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第二章 投标人需知</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lang w:val="en-US" w:eastAsia="zh-CN"/>
            </w:rPr>
            <w:t>6</w:t>
          </w:r>
          <w:r>
            <w:rPr>
              <w:rFonts w:hint="eastAsia" w:ascii="方正黑体_GBK" w:hAnsi="方正黑体_GBK" w:eastAsia="方正黑体_GBK" w:cs="方正黑体_GBK"/>
              <w:sz w:val="24"/>
              <w:szCs w:val="24"/>
            </w:rPr>
            <w:fldChar w:fldCharType="end"/>
          </w: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pStyle w:val="29"/>
            <w:tabs>
              <w:tab w:val="right" w:leader="dot" w:pos="8255"/>
            </w:tabs>
            <w:rPr>
              <w:rStyle w:val="48"/>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"_Toc531594780"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 xml:space="preserve">第三章 </w:t>
          </w:r>
          <w:r>
            <w:rPr>
              <w:rStyle w:val="48"/>
              <w:rFonts w:hint="eastAsia" w:ascii="方正黑体_GBK" w:hAnsi="方正黑体_GBK" w:eastAsia="方正黑体_GBK" w:cs="方正黑体_GBK"/>
              <w:sz w:val="24"/>
              <w:szCs w:val="24"/>
              <w:lang w:eastAsia="zh-CN"/>
            </w:rPr>
            <w:t>招标技术要求</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lang w:val="en-US" w:eastAsia="zh-CN"/>
            </w:rPr>
            <w:t>2</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lang w:val="en-US" w:eastAsia="zh-CN"/>
            </w:rPr>
            <w:t>0</w:t>
          </w: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pStyle w:val="29"/>
            <w:tabs>
              <w:tab w:val="right" w:leader="dot" w:pos="8255"/>
            </w:tabs>
            <w:rPr>
              <w:rStyle w:val="48"/>
              <w:rFonts w:hint="default"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"_Toc531594798"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第四章 评标原则</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lang w:val="en-US" w:eastAsia="zh-CN"/>
            </w:rPr>
            <w:t>28</w:t>
          </w: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rPr>
              <w:rFonts w:hint="eastAsia" w:ascii="方正黑体_GBK" w:hAnsi="方正黑体_GBK" w:eastAsia="方正黑体_GBK" w:cs="方正黑体_GBK"/>
              <w:sz w:val="24"/>
              <w:szCs w:val="24"/>
            </w:rPr>
          </w:pPr>
        </w:p>
        <w:p>
          <w:pPr>
            <w:pStyle w:val="29"/>
            <w:tabs>
              <w:tab w:val="right" w:leader="dot" w:pos="8255"/>
            </w:tabs>
            <w:rPr>
              <w:rFonts w:hint="default" w:ascii="方正黑体_GBK" w:hAnsi="方正黑体_GBK" w:eastAsia="方正黑体_GBK" w:cs="方正黑体_GBK"/>
              <w:b w:val="0"/>
              <w:caps w:val="0"/>
              <w:sz w:val="24"/>
              <w:szCs w:val="24"/>
              <w:lang w:val="en-US" w:eastAsia="zh-CN"/>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"_Toc531594799" </w:instrText>
          </w:r>
          <w:r>
            <w:rPr>
              <w:rFonts w:hint="eastAsia" w:ascii="方正黑体_GBK" w:hAnsi="方正黑体_GBK" w:eastAsia="方正黑体_GBK" w:cs="方正黑体_GBK"/>
              <w:sz w:val="24"/>
              <w:szCs w:val="24"/>
            </w:rPr>
            <w:fldChar w:fldCharType="separate"/>
          </w:r>
          <w:r>
            <w:rPr>
              <w:rStyle w:val="48"/>
              <w:rFonts w:hint="eastAsia" w:ascii="方正黑体_GBK" w:hAnsi="方正黑体_GBK" w:eastAsia="方正黑体_GBK" w:cs="方正黑体_GBK"/>
              <w:sz w:val="24"/>
              <w:szCs w:val="24"/>
            </w:rPr>
            <w:t>第五章 投标文件格式</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lang w:val="en-US" w:eastAsia="zh-CN"/>
            </w:rPr>
            <w:t>29</w:t>
          </w:r>
        </w:p>
        <w:p>
          <w:pPr>
            <w:rPr>
              <w:rFonts w:hint="eastAsia" w:ascii="方正黑体_GBK" w:hAnsi="方正黑体_GBK" w:eastAsia="方正黑体_GBK" w:cs="方正黑体_GBK"/>
              <w:b/>
              <w:sz w:val="24"/>
              <w:szCs w:val="24"/>
            </w:rPr>
          </w:pPr>
          <w:r>
            <w:rPr>
              <w:rFonts w:hint="eastAsia" w:ascii="方正黑体_GBK" w:hAnsi="方正黑体_GBK" w:eastAsia="方正黑体_GBK" w:cs="方正黑体_GBK"/>
              <w:sz w:val="24"/>
              <w:szCs w:val="24"/>
              <w:lang w:val="zh-CN"/>
            </w:rPr>
            <w:fldChar w:fldCharType="end"/>
          </w:r>
        </w:p>
      </w:sdtContent>
    </w:sdt>
    <w:p>
      <w:pPr>
        <w:rPr>
          <w:rFonts w:hint="eastAsia" w:ascii="方正黑体_GBK" w:hAnsi="方正黑体_GBK" w:eastAsia="方正黑体_GBK" w:cs="方正黑体_GBK"/>
          <w:b/>
          <w:sz w:val="24"/>
          <w:szCs w:val="24"/>
        </w:rPr>
      </w:pPr>
    </w:p>
    <w:p>
      <w:pPr>
        <w:rPr>
          <w:b/>
        </w:rPr>
      </w:pPr>
      <w:bookmarkStart w:id="4" w:name="_Toc484637072"/>
      <w:bookmarkStart w:id="5" w:name="_Toc481694467"/>
    </w:p>
    <w:p>
      <w:pPr>
        <w:rPr>
          <w:b/>
        </w:rPr>
      </w:pPr>
    </w:p>
    <w:p>
      <w:pPr>
        <w:pStyle w:val="2"/>
        <w:numPr>
          <w:ilvl w:val="0"/>
          <w:numId w:val="0"/>
        </w:numPr>
        <w:jc w:val="center"/>
        <w:rPr>
          <w:rFonts w:hint="eastAsia" w:asciiTheme="minorEastAsia" w:hAnsiTheme="minorEastAsia" w:eastAsiaTheme="minorEastAsia"/>
        </w:rPr>
      </w:pPr>
      <w:bookmarkStart w:id="6" w:name="_Toc531594733"/>
    </w:p>
    <w:p>
      <w:pPr>
        <w:pStyle w:val="2"/>
        <w:numPr>
          <w:ilvl w:val="0"/>
          <w:numId w:val="0"/>
        </w:numPr>
        <w:spacing w:before="0" w:after="0" w:line="240" w:lineRule="auto"/>
        <w:jc w:val="both"/>
        <w:rPr>
          <w:rFonts w:hint="eastAsia" w:ascii="方正黑体_GBK" w:hAnsi="方正黑体_GBK" w:eastAsia="方正黑体_GBK" w:cs="方正黑体_GBK"/>
          <w:sz w:val="28"/>
          <w:szCs w:val="28"/>
        </w:rPr>
      </w:pPr>
    </w:p>
    <w:p>
      <w:pPr>
        <w:rPr>
          <w:rFonts w:hint="eastAsia" w:ascii="方正黑体_GBK" w:hAnsi="方正黑体_GBK" w:eastAsia="方正黑体_GBK" w:cs="方正黑体_GBK"/>
          <w:sz w:val="28"/>
          <w:szCs w:val="28"/>
        </w:rPr>
      </w:pPr>
    </w:p>
    <w:p>
      <w:pPr>
        <w:rPr>
          <w:rFonts w:hint="eastAsia" w:ascii="方正黑体_GBK" w:hAnsi="方正黑体_GBK" w:eastAsia="方正黑体_GBK" w:cs="方正黑体_GBK"/>
          <w:sz w:val="28"/>
          <w:szCs w:val="28"/>
        </w:rPr>
      </w:pPr>
    </w:p>
    <w:bookmarkEnd w:id="0"/>
    <w:bookmarkEnd w:id="1"/>
    <w:p>
      <w:pPr>
        <w:pStyle w:val="2"/>
        <w:pageBreakBefore w:val="0"/>
        <w:widowControl w:val="0"/>
        <w:numPr>
          <w:ilvl w:val="0"/>
          <w:numId w:val="10"/>
        </w:numPr>
        <w:kinsoku/>
        <w:wordWrap/>
        <w:overflowPunct/>
        <w:topLinePunct w:val="0"/>
        <w:autoSpaceDE/>
        <w:autoSpaceDN/>
        <w:bidi w:val="0"/>
        <w:adjustRightInd/>
        <w:snapToGrid/>
        <w:spacing w:before="0" w:after="0" w:line="52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招标公告</w:t>
      </w:r>
      <w:bookmarkEnd w:id="4"/>
      <w:bookmarkEnd w:id="5"/>
      <w:bookmarkEnd w:id="6"/>
    </w:p>
    <w:p>
      <w:pPr>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u w:val="single"/>
        </w:rPr>
        <w:t>重庆财经学院</w:t>
      </w:r>
      <w:r>
        <w:rPr>
          <w:rFonts w:hint="eastAsia" w:ascii="仿宋" w:hAnsi="仿宋" w:eastAsia="仿宋" w:cs="仿宋"/>
          <w:sz w:val="28"/>
          <w:szCs w:val="28"/>
        </w:rPr>
        <w:t>（采</w:t>
      </w:r>
      <w:r>
        <w:rPr>
          <w:rFonts w:hint="eastAsia" w:ascii="仿宋" w:hAnsi="仿宋" w:eastAsia="仿宋" w:cs="仿宋"/>
          <w:bCs/>
          <w:sz w:val="28"/>
          <w:szCs w:val="28"/>
        </w:rPr>
        <w:t>购人）</w:t>
      </w:r>
      <w:r>
        <w:rPr>
          <w:rFonts w:hint="eastAsia" w:ascii="仿宋" w:hAnsi="仿宋" w:eastAsia="仿宋" w:cs="仿宋"/>
          <w:sz w:val="28"/>
          <w:szCs w:val="28"/>
        </w:rPr>
        <w:t>拟对“</w:t>
      </w:r>
      <w:r>
        <w:rPr>
          <w:rFonts w:hint="eastAsia" w:ascii="仿宋" w:hAnsi="仿宋" w:eastAsia="仿宋" w:cs="仿宋"/>
          <w:sz w:val="28"/>
          <w:szCs w:val="28"/>
          <w:u w:val="single"/>
        </w:rPr>
        <w:t>重庆财经学</w:t>
      </w:r>
      <w:r>
        <w:rPr>
          <w:rFonts w:hint="eastAsia" w:ascii="仿宋" w:hAnsi="仿宋" w:eastAsia="仿宋" w:cs="仿宋"/>
          <w:sz w:val="28"/>
          <w:szCs w:val="28"/>
          <w:u w:val="single"/>
          <w:lang w:eastAsia="zh-CN"/>
        </w:rPr>
        <w:t>院中新金融科技现代产业学院实验实训中心电脑设备采购项目</w:t>
      </w:r>
      <w:r>
        <w:rPr>
          <w:rFonts w:hint="eastAsia" w:ascii="仿宋" w:hAnsi="仿宋" w:eastAsia="仿宋" w:cs="仿宋"/>
          <w:sz w:val="28"/>
          <w:szCs w:val="28"/>
        </w:rPr>
        <w:t>”进行国内公开招标，兹邀请符合本次招标要求的供应商参加投标。</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u w:val="single"/>
        </w:rPr>
      </w:pPr>
      <w:r>
        <w:rPr>
          <w:rFonts w:hint="eastAsia" w:ascii="方正黑体_GBK" w:hAnsi="方正黑体_GBK" w:eastAsia="方正黑体_GBK" w:cs="方正黑体_GBK"/>
          <w:b/>
          <w:bCs/>
          <w:sz w:val="28"/>
          <w:szCs w:val="28"/>
        </w:rPr>
        <w:t>一、</w:t>
      </w:r>
      <w:r>
        <w:rPr>
          <w:rFonts w:hint="eastAsia" w:ascii="方正黑体_GBK" w:hAnsi="方正黑体_GBK" w:eastAsia="方正黑体_GBK" w:cs="方正黑体_GBK"/>
          <w:b/>
          <w:sz w:val="28"/>
          <w:szCs w:val="28"/>
        </w:rPr>
        <w:t>招标项目</w:t>
      </w:r>
      <w:r>
        <w:rPr>
          <w:rFonts w:hint="eastAsia" w:ascii="仿宋" w:hAnsi="仿宋" w:eastAsia="仿宋" w:cs="仿宋"/>
          <w:b/>
          <w:sz w:val="28"/>
          <w:szCs w:val="28"/>
        </w:rPr>
        <w:t>：</w:t>
      </w:r>
      <w:r>
        <w:rPr>
          <w:rFonts w:hint="eastAsia" w:ascii="仿宋" w:hAnsi="仿宋" w:eastAsia="仿宋" w:cs="仿宋"/>
          <w:sz w:val="28"/>
          <w:szCs w:val="28"/>
          <w:u w:val="single"/>
        </w:rPr>
        <w:t>重庆财经学</w:t>
      </w:r>
      <w:r>
        <w:rPr>
          <w:rFonts w:hint="eastAsia" w:ascii="仿宋" w:hAnsi="仿宋" w:eastAsia="仿宋" w:cs="仿宋"/>
          <w:sz w:val="28"/>
          <w:szCs w:val="28"/>
          <w:u w:val="single"/>
          <w:lang w:eastAsia="zh-CN"/>
        </w:rPr>
        <w:t>院中新金融科技现代产业学院实验实训中心电脑设备采购项目</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sz w:val="28"/>
          <w:szCs w:val="28"/>
        </w:rPr>
      </w:pPr>
      <w:r>
        <w:rPr>
          <w:rFonts w:hint="eastAsia" w:ascii="方正黑体_GBK" w:hAnsi="方正黑体_GBK" w:eastAsia="方正黑体_GBK" w:cs="方正黑体_GBK"/>
          <w:b/>
          <w:sz w:val="28"/>
          <w:szCs w:val="28"/>
        </w:rPr>
        <w:t xml:space="preserve">二、招标项目内容：（详见招标文件第三章 </w:t>
      </w:r>
      <w:r>
        <w:rPr>
          <w:rFonts w:hint="eastAsia" w:ascii="方正黑体_GBK" w:hAnsi="方正黑体_GBK" w:eastAsia="方正黑体_GBK" w:cs="方正黑体_GBK"/>
          <w:b/>
          <w:sz w:val="28"/>
          <w:szCs w:val="28"/>
          <w:lang w:eastAsia="zh-CN"/>
        </w:rPr>
        <w:t>招标技术要求</w:t>
      </w:r>
      <w:r>
        <w:rPr>
          <w:rFonts w:hint="eastAsia" w:ascii="方正黑体_GBK" w:hAnsi="方正黑体_GBK" w:eastAsia="方正黑体_GBK" w:cs="方正黑体_GBK"/>
          <w:b/>
          <w:sz w:val="28"/>
          <w:szCs w:val="28"/>
        </w:rPr>
        <w:t>）</w:t>
      </w:r>
      <w:r>
        <w:rPr>
          <w:rFonts w:hint="eastAsia" w:ascii="方正黑体_GBK" w:hAnsi="方正黑体_GBK" w:eastAsia="方正黑体_GBK" w:cs="方正黑体_GBK"/>
          <w:sz w:val="28"/>
          <w:szCs w:val="28"/>
        </w:rPr>
        <w:t>。</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三、供应商参加本次采购活动应具备下列条件：</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1．投标人具有独立承担民事责任的能力；</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2．投标人具有良好的商业信誉和健全的财务会计制度，需提供近</w:t>
      </w:r>
      <w:r>
        <w:rPr>
          <w:rFonts w:hint="eastAsia" w:ascii="仿宋" w:hAnsi="仿宋" w:eastAsia="仿宋" w:cs="仿宋"/>
          <w:sz w:val="28"/>
          <w:szCs w:val="28"/>
          <w:lang w:val="en-US" w:eastAsia="zh-CN"/>
        </w:rPr>
        <w:t>一</w:t>
      </w:r>
      <w:r>
        <w:rPr>
          <w:rFonts w:hint="eastAsia" w:ascii="仿宋" w:hAnsi="仿宋" w:eastAsia="仿宋" w:cs="仿宋"/>
          <w:sz w:val="28"/>
          <w:szCs w:val="28"/>
        </w:rPr>
        <w:t>年的财务报表；</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3．投标人具有依法缴纳税收和社会保障资金的良好纪录；</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4．投标人具有履行合同所必需的专业技术能力；</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5．投标人参加政府采购活动前三年内，没有骗取中标行为，无不正当理由放弃中标（成交）行为，未进行过恶意投诉，在经营活动中没有违法、违规记录；</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 xml:space="preserve">6．投标人具有完善的质量保证和售后服务体系； </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 投标人需提供近3年与高校有合作关系的合同复印件至少</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家以上；</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．本项目不接受联合体投标。</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四、报名时请提供以下资料：</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1.企业营业执照副本复印件；税务登记证复印件；组织机构代码证复印件；</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2.法定代表人授权书原件；</w:t>
      </w:r>
    </w:p>
    <w:p>
      <w:pPr>
        <w:pageBreakBefore w:val="0"/>
        <w:widowControl w:val="0"/>
        <w:kinsoku/>
        <w:wordWrap/>
        <w:overflowPunct/>
        <w:topLinePunct w:val="0"/>
        <w:autoSpaceDE/>
        <w:autoSpaceDN/>
        <w:bidi w:val="0"/>
        <w:adjustRightInd/>
        <w:snapToGrid/>
        <w:spacing w:line="520" w:lineRule="exact"/>
        <w:ind w:firstLine="660" w:firstLineChars="236"/>
        <w:textAlignment w:val="auto"/>
        <w:rPr>
          <w:rFonts w:hint="eastAsia" w:ascii="仿宋" w:hAnsi="仿宋" w:eastAsia="仿宋" w:cs="仿宋"/>
          <w:sz w:val="28"/>
          <w:szCs w:val="28"/>
        </w:rPr>
      </w:pPr>
      <w:r>
        <w:rPr>
          <w:rFonts w:hint="eastAsia" w:ascii="仿宋" w:hAnsi="仿宋" w:eastAsia="仿宋" w:cs="仿宋"/>
          <w:sz w:val="28"/>
          <w:szCs w:val="28"/>
        </w:rPr>
        <w:t>3.被授权人有效身份证复印件及原件；</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五、招标文件发售时间、地点：</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发售招标文件及报名时间</w:t>
      </w:r>
      <w:r>
        <w:rPr>
          <w:rFonts w:hint="eastAsia" w:ascii="仿宋" w:hAnsi="仿宋" w:eastAsia="仿宋" w:cs="仿宋"/>
          <w:sz w:val="28"/>
          <w:szCs w:val="28"/>
        </w:rPr>
        <w:t>：招标公告之日起至 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5日。</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发售招标文件地点</w:t>
      </w:r>
      <w:r>
        <w:rPr>
          <w:rFonts w:hint="eastAsia" w:ascii="仿宋" w:hAnsi="仿宋" w:eastAsia="仿宋" w:cs="仿宋"/>
          <w:sz w:val="28"/>
          <w:szCs w:val="28"/>
        </w:rPr>
        <w:t>：</w:t>
      </w:r>
      <w:r>
        <w:rPr>
          <w:rFonts w:hint="eastAsia" w:ascii="仿宋" w:hAnsi="仿宋" w:eastAsia="仿宋" w:cs="仿宋"/>
          <w:sz w:val="28"/>
          <w:szCs w:val="28"/>
          <w:u w:val="single"/>
        </w:rPr>
        <w:t>重庆财经学院行政楼2318室（重庆市巴南区龙洲湾尚文大道906号）</w:t>
      </w:r>
      <w:r>
        <w:rPr>
          <w:rFonts w:hint="eastAsia" w:ascii="仿宋" w:hAnsi="仿宋" w:eastAsia="仿宋" w:cs="仿宋"/>
          <w:sz w:val="28"/>
          <w:szCs w:val="28"/>
        </w:rPr>
        <w:t>购买。</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招标文件售价</w:t>
      </w:r>
      <w:r>
        <w:rPr>
          <w:rFonts w:hint="eastAsia" w:ascii="仿宋" w:hAnsi="仿宋" w:eastAsia="仿宋" w:cs="仿宋"/>
          <w:sz w:val="28"/>
          <w:szCs w:val="28"/>
        </w:rPr>
        <w:t>：</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00元/份</w:t>
      </w:r>
      <w:r>
        <w:rPr>
          <w:rFonts w:hint="eastAsia" w:ascii="仿宋" w:hAnsi="仿宋" w:eastAsia="仿宋" w:cs="仿宋"/>
          <w:sz w:val="28"/>
          <w:szCs w:val="28"/>
        </w:rPr>
        <w:t>（招标文件售后不退, 投标资格不能转让）。</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b/>
          <w:bCs/>
          <w:spacing w:val="-4"/>
          <w:sz w:val="28"/>
          <w:szCs w:val="28"/>
        </w:rPr>
      </w:pPr>
      <w:r>
        <w:rPr>
          <w:rFonts w:hint="eastAsia" w:ascii="方正黑体_GBK" w:hAnsi="方正黑体_GBK" w:eastAsia="方正黑体_GBK" w:cs="方正黑体_GBK"/>
          <w:b/>
          <w:sz w:val="28"/>
          <w:szCs w:val="28"/>
        </w:rPr>
        <w:t>六、</w:t>
      </w:r>
      <w:r>
        <w:rPr>
          <w:rFonts w:hint="eastAsia" w:ascii="方正黑体_GBK" w:hAnsi="方正黑体_GBK" w:eastAsia="方正黑体_GBK" w:cs="方正黑体_GBK"/>
          <w:b/>
          <w:spacing w:val="-4"/>
          <w:sz w:val="28"/>
          <w:szCs w:val="28"/>
        </w:rPr>
        <w:t>投标截止时间：</w:t>
      </w:r>
      <w:r>
        <w:rPr>
          <w:rFonts w:hint="eastAsia" w:ascii="方正黑体_GBK" w:hAnsi="方正黑体_GBK" w:eastAsia="方正黑体_GBK" w:cs="方正黑体_GBK"/>
          <w:b/>
          <w:bCs/>
          <w:spacing w:val="-4"/>
          <w:sz w:val="28"/>
          <w:szCs w:val="28"/>
        </w:rPr>
        <w:t>2022年</w:t>
      </w:r>
      <w:r>
        <w:rPr>
          <w:rFonts w:hint="eastAsia" w:ascii="方正黑体_GBK" w:hAnsi="方正黑体_GBK" w:eastAsia="方正黑体_GBK" w:cs="方正黑体_GBK"/>
          <w:b/>
          <w:bCs/>
          <w:spacing w:val="-4"/>
          <w:sz w:val="28"/>
          <w:szCs w:val="28"/>
          <w:lang w:val="en-US" w:eastAsia="zh-CN"/>
        </w:rPr>
        <w:t>5</w:t>
      </w:r>
      <w:r>
        <w:rPr>
          <w:rFonts w:hint="eastAsia" w:ascii="方正黑体_GBK" w:hAnsi="方正黑体_GBK" w:eastAsia="方正黑体_GBK" w:cs="方正黑体_GBK"/>
          <w:b/>
          <w:bCs/>
          <w:spacing w:val="-4"/>
          <w:sz w:val="28"/>
          <w:szCs w:val="28"/>
        </w:rPr>
        <w:t>月</w:t>
      </w:r>
      <w:r>
        <w:rPr>
          <w:rFonts w:hint="eastAsia" w:ascii="方正黑体_GBK" w:hAnsi="方正黑体_GBK" w:eastAsia="方正黑体_GBK" w:cs="方正黑体_GBK"/>
          <w:b/>
          <w:bCs/>
          <w:spacing w:val="-4"/>
          <w:sz w:val="28"/>
          <w:szCs w:val="28"/>
          <w:lang w:val="en-US" w:eastAsia="zh-CN"/>
        </w:rPr>
        <w:t>30</w:t>
      </w:r>
      <w:r>
        <w:rPr>
          <w:rFonts w:hint="eastAsia" w:ascii="方正黑体_GBK" w:hAnsi="方正黑体_GBK" w:eastAsia="方正黑体_GBK" w:cs="方正黑体_GBK"/>
          <w:b/>
          <w:bCs/>
          <w:spacing w:val="-4"/>
          <w:sz w:val="28"/>
          <w:szCs w:val="28"/>
        </w:rPr>
        <w:t>日, 具体送达时间将于2022年</w:t>
      </w:r>
      <w:r>
        <w:rPr>
          <w:rFonts w:hint="eastAsia" w:ascii="方正黑体_GBK" w:hAnsi="方正黑体_GBK" w:eastAsia="方正黑体_GBK" w:cs="方正黑体_GBK"/>
          <w:b/>
          <w:bCs/>
          <w:spacing w:val="-4"/>
          <w:sz w:val="28"/>
          <w:szCs w:val="28"/>
          <w:lang w:val="en-US" w:eastAsia="zh-CN"/>
        </w:rPr>
        <w:t>5</w:t>
      </w:r>
      <w:r>
        <w:rPr>
          <w:rFonts w:hint="eastAsia" w:ascii="方正黑体_GBK" w:hAnsi="方正黑体_GBK" w:eastAsia="方正黑体_GBK" w:cs="方正黑体_GBK"/>
          <w:b/>
          <w:bCs/>
          <w:spacing w:val="-4"/>
          <w:sz w:val="28"/>
          <w:szCs w:val="28"/>
        </w:rPr>
        <w:t>月2</w:t>
      </w:r>
      <w:r>
        <w:rPr>
          <w:rFonts w:hint="eastAsia" w:ascii="方正黑体_GBK" w:hAnsi="方正黑体_GBK" w:eastAsia="方正黑体_GBK" w:cs="方正黑体_GBK"/>
          <w:b/>
          <w:bCs/>
          <w:spacing w:val="-4"/>
          <w:sz w:val="28"/>
          <w:szCs w:val="28"/>
          <w:lang w:val="en-US" w:eastAsia="zh-CN"/>
        </w:rPr>
        <w:t>7</w:t>
      </w:r>
      <w:r>
        <w:rPr>
          <w:rFonts w:hint="eastAsia" w:ascii="方正黑体_GBK" w:hAnsi="方正黑体_GBK" w:eastAsia="方正黑体_GBK" w:cs="方正黑体_GBK"/>
          <w:b/>
          <w:bCs/>
          <w:spacing w:val="-4"/>
          <w:sz w:val="28"/>
          <w:szCs w:val="28"/>
        </w:rPr>
        <w:t>日在重庆财经学院校园网（http://www.cfec.edu.cn）通知。</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投标文件必须在投标截止时间前送达开标地点。逾期送达的投标文件恕不接收。本次招标不接受邮寄的投标文件。</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七、投标保证金：</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投标人应提供</w:t>
      </w:r>
      <w:r>
        <w:rPr>
          <w:rFonts w:hint="eastAsia" w:asciiTheme="minorEastAsia" w:hAnsiTheme="minorEastAsia" w:eastAsiaTheme="minorEastAsia" w:cstheme="minorEastAsia"/>
          <w:sz w:val="21"/>
          <w:szCs w:val="21"/>
          <w:lang w:eastAsia="zh-CN"/>
        </w:rPr>
        <w:t>人民币</w:t>
      </w:r>
      <w:r>
        <w:rPr>
          <w:rFonts w:hint="eastAsia" w:ascii="仿宋" w:hAnsi="仿宋" w:eastAsia="仿宋" w:cs="仿宋"/>
          <w:b/>
          <w:sz w:val="28"/>
          <w:szCs w:val="28"/>
          <w:highlight w:val="none"/>
          <w:u w:val="single"/>
          <w:lang w:val="en-US" w:eastAsia="zh-CN"/>
        </w:rPr>
        <w:t>10000</w:t>
      </w:r>
      <w:r>
        <w:rPr>
          <w:rFonts w:hint="eastAsia" w:ascii="仿宋" w:hAnsi="仿宋" w:eastAsia="仿宋" w:cs="仿宋"/>
          <w:b/>
          <w:sz w:val="28"/>
          <w:szCs w:val="28"/>
          <w:highlight w:val="none"/>
          <w:u w:val="single"/>
        </w:rPr>
        <w:t>元整</w:t>
      </w:r>
      <w:r>
        <w:rPr>
          <w:rFonts w:hint="eastAsia" w:ascii="仿宋" w:hAnsi="仿宋" w:eastAsia="仿宋" w:cs="仿宋"/>
          <w:b/>
          <w:sz w:val="28"/>
          <w:szCs w:val="28"/>
          <w:highlight w:val="none"/>
        </w:rPr>
        <w:t>（现金）</w:t>
      </w:r>
      <w:r>
        <w:rPr>
          <w:rFonts w:hint="eastAsia" w:ascii="仿宋" w:hAnsi="仿宋" w:eastAsia="仿宋" w:cs="仿宋"/>
          <w:sz w:val="28"/>
          <w:szCs w:val="28"/>
        </w:rPr>
        <w:t xml:space="preserve">的投标保证金，带至投标现场。 </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方正黑体_GBK" w:hAnsi="方正黑体_GBK" w:eastAsia="方正黑体_GBK" w:cs="方正黑体_GBK"/>
          <w:b/>
          <w:sz w:val="28"/>
          <w:szCs w:val="28"/>
        </w:rPr>
        <w:t>八、中标服务费</w:t>
      </w:r>
      <w:r>
        <w:rPr>
          <w:rFonts w:hint="eastAsia" w:ascii="仿宋" w:hAnsi="仿宋" w:eastAsia="仿宋" w:cs="仿宋"/>
          <w:b/>
          <w:sz w:val="28"/>
          <w:szCs w:val="28"/>
        </w:rPr>
        <w:t>：</w:t>
      </w:r>
      <w:r>
        <w:rPr>
          <w:rFonts w:hint="eastAsia" w:ascii="仿宋" w:hAnsi="仿宋" w:eastAsia="仿宋" w:cs="仿宋"/>
          <w:color w:val="000000" w:themeColor="text1"/>
          <w:sz w:val="28"/>
          <w:szCs w:val="28"/>
        </w:rPr>
        <w:t>学校在收到投标书后组织专家及相关部门人员进行评标，</w:t>
      </w:r>
      <w:r>
        <w:rPr>
          <w:rFonts w:hint="eastAsia" w:ascii="仿宋" w:hAnsi="仿宋" w:eastAsia="仿宋" w:cs="仿宋"/>
          <w:sz w:val="28"/>
          <w:szCs w:val="28"/>
        </w:rPr>
        <w:t>中标单位将交纳中标费，中标费按合同金额的</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w:t>
      </w:r>
      <w:r>
        <w:rPr>
          <w:rFonts w:hint="eastAsia" w:ascii="仿宋" w:hAnsi="仿宋" w:eastAsia="仿宋" w:cs="仿宋"/>
          <w:sz w:val="28"/>
          <w:szCs w:val="28"/>
        </w:rPr>
        <w:t>收取。无论投标结果如何，投标人参与本项目投标的所有费用均应由投标人自行承担。</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方正黑体_GBK" w:hAnsi="方正黑体_GBK" w:eastAsia="方正黑体_GBK" w:cs="方正黑体_GBK"/>
          <w:b/>
          <w:sz w:val="28"/>
          <w:szCs w:val="28"/>
        </w:rPr>
        <w:t>九、投标地点：</w:t>
      </w:r>
      <w:r>
        <w:rPr>
          <w:rFonts w:hint="eastAsia" w:ascii="仿宋" w:hAnsi="仿宋" w:eastAsia="仿宋" w:cs="仿宋"/>
          <w:sz w:val="28"/>
          <w:szCs w:val="28"/>
        </w:rPr>
        <w:t>重庆财经学院行政楼2318室（重庆市巴南区龙洲湾尚文大道906号）</w:t>
      </w:r>
    </w:p>
    <w:p>
      <w:pPr>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方正黑体_GBK" w:hAnsi="方正黑体_GBK" w:eastAsia="方正黑体_GBK" w:cs="方正黑体_GBK"/>
          <w:b/>
          <w:sz w:val="28"/>
          <w:szCs w:val="28"/>
        </w:rPr>
        <w:t>十、发布招标公告的媒介：</w:t>
      </w:r>
      <w:r>
        <w:rPr>
          <w:rFonts w:hint="eastAsia" w:ascii="仿宋" w:hAnsi="仿宋" w:eastAsia="仿宋" w:cs="仿宋"/>
          <w:sz w:val="28"/>
          <w:szCs w:val="28"/>
        </w:rPr>
        <w:t>本次招标公告在“重庆财经学院校园网（</w:t>
      </w:r>
      <w:r>
        <w:rPr>
          <w:rFonts w:hint="eastAsia" w:ascii="仿宋" w:hAnsi="仿宋" w:eastAsia="仿宋" w:cs="仿宋"/>
          <w:b/>
          <w:bCs/>
          <w:spacing w:val="-4"/>
          <w:sz w:val="28"/>
          <w:szCs w:val="28"/>
        </w:rPr>
        <w:t>http://www.cfec.edu.cn</w:t>
      </w:r>
      <w:r>
        <w:rPr>
          <w:rFonts w:hint="eastAsia" w:ascii="仿宋" w:hAnsi="仿宋" w:eastAsia="仿宋" w:cs="仿宋"/>
          <w:sz w:val="28"/>
          <w:szCs w:val="28"/>
        </w:rPr>
        <w:t>）”上发布。</w:t>
      </w:r>
    </w:p>
    <w:p>
      <w:pPr>
        <w:pageBreakBefore w:val="0"/>
        <w:widowControl w:val="0"/>
        <w:kinsoku/>
        <w:wordWrap/>
        <w:overflowPunct/>
        <w:topLinePunct w:val="0"/>
        <w:autoSpaceDE/>
        <w:autoSpaceDN/>
        <w:bidi w:val="0"/>
        <w:adjustRightInd/>
        <w:snapToGrid/>
        <w:spacing w:line="520" w:lineRule="exact"/>
        <w:ind w:left="-154" w:leftChars="-64" w:firstLine="843" w:firstLineChars="300"/>
        <w:textAlignment w:val="auto"/>
        <w:rPr>
          <w:rFonts w:hint="eastAsia" w:ascii="方正黑体_GBK" w:hAnsi="方正黑体_GBK" w:eastAsia="方正黑体_GBK" w:cs="方正黑体_GBK"/>
          <w:b/>
          <w:sz w:val="28"/>
          <w:szCs w:val="28"/>
        </w:rPr>
      </w:pPr>
      <w:r>
        <w:rPr>
          <w:rFonts w:hint="eastAsia" w:ascii="方正黑体_GBK" w:hAnsi="方正黑体_GBK" w:eastAsia="方正黑体_GBK" w:cs="方正黑体_GBK"/>
          <w:b/>
          <w:sz w:val="28"/>
          <w:szCs w:val="28"/>
        </w:rPr>
        <w:t>十一、联系方式</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联系人：沈老师   </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联系电话：88968652</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招标人：重庆财经学院</w:t>
      </w:r>
    </w:p>
    <w:p>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地址：重庆市巴南区龙洲湾尚文大道906号</w:t>
      </w:r>
      <w:bookmarkStart w:id="7" w:name="_Toc224103315"/>
      <w:bookmarkStart w:id="8" w:name="_Toc287607744"/>
      <w:bookmarkStart w:id="9" w:name="_Toc30163"/>
      <w:bookmarkStart w:id="10" w:name="_Toc484637073"/>
      <w:bookmarkStart w:id="11" w:name="_Toc481694468"/>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spacing w:line="240" w:lineRule="auto"/>
        <w:rPr>
          <w:rFonts w:asciiTheme="minorEastAsia" w:hAnsiTheme="minorEastAsia" w:eastAsiaTheme="minorEastAsia"/>
        </w:rPr>
      </w:pPr>
    </w:p>
    <w:p>
      <w:pPr>
        <w:pStyle w:val="2"/>
        <w:numPr>
          <w:ilvl w:val="0"/>
          <w:numId w:val="10"/>
        </w:numPr>
        <w:spacing w:before="0" w:after="0" w:line="240" w:lineRule="auto"/>
        <w:ind w:left="432" w:leftChars="0" w:hanging="432" w:firstLineChars="0"/>
        <w:jc w:val="center"/>
        <w:rPr>
          <w:rFonts w:hint="eastAsia" w:ascii="仿宋" w:hAnsi="仿宋" w:eastAsia="仿宋" w:cs="仿宋"/>
          <w:b/>
          <w:bCs/>
        </w:rPr>
      </w:pPr>
      <w:bookmarkStart w:id="12" w:name="_Toc531594734"/>
      <w:r>
        <w:rPr>
          <w:rFonts w:hint="eastAsia" w:ascii="仿宋" w:hAnsi="仿宋" w:eastAsia="仿宋" w:cs="仿宋"/>
          <w:b/>
          <w:bCs/>
        </w:rPr>
        <w:t>投标人需知</w:t>
      </w:r>
      <w:bookmarkEnd w:id="7"/>
      <w:bookmarkEnd w:id="8"/>
      <w:bookmarkEnd w:id="9"/>
      <w:bookmarkEnd w:id="10"/>
      <w:bookmarkEnd w:id="11"/>
      <w:bookmarkEnd w:id="12"/>
    </w:p>
    <w:p>
      <w:pPr>
        <w:numPr>
          <w:ilvl w:val="0"/>
          <w:numId w:val="0"/>
        </w:numPr>
        <w:ind w:leftChars="0"/>
        <w:rPr>
          <w:rFonts w:hint="eastAsia"/>
        </w:rPr>
      </w:pPr>
    </w:p>
    <w:p>
      <w:pPr>
        <w:jc w:val="center"/>
        <w:rPr>
          <w:rFonts w:hint="eastAsia" w:ascii="宋体" w:hAnsi="宋体" w:eastAsia="宋体" w:cs="宋体"/>
          <w:b/>
          <w:bCs/>
          <w:sz w:val="28"/>
          <w:szCs w:val="28"/>
        </w:rPr>
      </w:pPr>
      <w:r>
        <w:rPr>
          <w:rFonts w:hint="eastAsia" w:ascii="宋体" w:hAnsi="宋体" w:eastAsia="宋体" w:cs="宋体"/>
          <w:b/>
          <w:bCs/>
          <w:sz w:val="28"/>
          <w:szCs w:val="28"/>
        </w:rPr>
        <w:t>（投标人需知前附表）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条款号</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重庆财经学</w:t>
            </w:r>
            <w:r>
              <w:rPr>
                <w:rFonts w:hint="eastAsia" w:asciiTheme="minorEastAsia" w:hAnsiTheme="minorEastAsia" w:eastAsiaTheme="minorEastAsia" w:cstheme="minorEastAsia"/>
                <w:sz w:val="21"/>
                <w:szCs w:val="21"/>
                <w:lang w:eastAsia="zh-CN"/>
              </w:rPr>
              <w:t>院中新金融科技现代产业学院实验实训中心电脑设备采购项目</w:t>
            </w:r>
            <w:r>
              <w:rPr>
                <w:rFonts w:hint="eastAsia" w:asciiTheme="minorEastAsia" w:hAnsiTheme="minorEastAsia" w:eastAsiaTheme="minorEastAsia" w:cstheme="minorEastAsia"/>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1.1.2</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单位名称：重庆财经学院</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址：重庆市巴南区龙洲湾尚文大道906号</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联系人：沈老师 </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   话：88968652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招标人自筹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 xml:space="preserve">详见招标文件第三章 </w:t>
            </w:r>
            <w:r>
              <w:rPr>
                <w:rFonts w:hint="eastAsia" w:asciiTheme="minorEastAsia" w:hAnsiTheme="minorEastAsia" w:eastAsiaTheme="minorEastAsia" w:cstheme="minorEastAsia"/>
                <w:sz w:val="21"/>
                <w:szCs w:val="21"/>
                <w:lang w:eastAsia="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1.3.2</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交货方式</w:t>
            </w:r>
          </w:p>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1.交货方式：重庆财经学院指定位置。</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2.交货时间：2022年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月30日之前内完成所有设备的安装调试工作；。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免费提供技术和售后服务，以确保需求方正常使用</w:t>
            </w:r>
            <w:r>
              <w:rPr>
                <w:rFonts w:hint="eastAsia" w:asciiTheme="minorEastAsia" w:hAnsiTheme="minorEastAsia" w:eastAsiaTheme="minorEastAsia" w:cstheme="minorEastAsia"/>
                <w:sz w:val="21"/>
                <w:szCs w:val="21"/>
                <w:lang w:eastAsia="zh-CN"/>
              </w:rPr>
              <w:t>设备</w:t>
            </w:r>
            <w:r>
              <w:rPr>
                <w:rFonts w:hint="eastAsia" w:asciiTheme="minorEastAsia" w:hAnsiTheme="minorEastAsia" w:eastAsiaTheme="minorEastAsia" w:cstheme="minorEastAsia"/>
                <w:sz w:val="21"/>
                <w:szCs w:val="21"/>
              </w:rPr>
              <w:t>及已订购的内容。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1.3.4</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验收合格双方签字后，要求三年质保服务。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质量要求</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售后服务</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质保期内上门免费</w:t>
            </w:r>
            <w:r>
              <w:rPr>
                <w:rFonts w:hint="eastAsia" w:asciiTheme="minorEastAsia" w:hAnsiTheme="minorEastAsia" w:eastAsiaTheme="minorEastAsia" w:cstheme="minorEastAsia"/>
                <w:sz w:val="21"/>
                <w:szCs w:val="21"/>
                <w:lang w:eastAsia="zh-CN"/>
              </w:rPr>
              <w:t>维修及</w:t>
            </w:r>
            <w:r>
              <w:rPr>
                <w:rFonts w:hint="eastAsia" w:asciiTheme="minorEastAsia" w:hAnsiTheme="minorEastAsia" w:eastAsiaTheme="minorEastAsia" w:cstheme="minorEastAsia"/>
                <w:sz w:val="21"/>
                <w:szCs w:val="21"/>
              </w:rPr>
              <w:t>故障处理等保修服务。质保期内出现故障，供货公司24小时内免费到现场，并解决问题，若不能按时解决问题，必须在48小时内提供损坏设备的代用品供学院暂时使用。</w:t>
            </w:r>
          </w:p>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.质保期内</w:t>
            </w:r>
            <w:r>
              <w:rPr>
                <w:rFonts w:hint="eastAsia" w:asciiTheme="minorEastAsia" w:hAnsiTheme="minorEastAsia" w:eastAsiaTheme="minorEastAsia" w:cstheme="minorEastAsia"/>
                <w:sz w:val="21"/>
                <w:szCs w:val="21"/>
              </w:rPr>
              <w:t>供应商向买方提供的</w:t>
            </w:r>
            <w:r>
              <w:rPr>
                <w:rFonts w:hint="eastAsia" w:asciiTheme="minorEastAsia" w:hAnsiTheme="minorEastAsia" w:eastAsiaTheme="minorEastAsia" w:cstheme="minorEastAsia"/>
                <w:sz w:val="21"/>
                <w:szCs w:val="21"/>
                <w:lang w:eastAsia="zh-CN"/>
              </w:rPr>
              <w:t>设备</w:t>
            </w:r>
            <w:r>
              <w:rPr>
                <w:rFonts w:hint="eastAsia" w:asciiTheme="minorEastAsia" w:hAnsiTheme="minorEastAsia" w:eastAsiaTheme="minorEastAsia" w:cstheme="minorEastAsia"/>
                <w:sz w:val="21"/>
                <w:szCs w:val="21"/>
              </w:rPr>
              <w:t>，如果遇到质量问题由供应商无条件更换。</w:t>
            </w:r>
          </w:p>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3.免费质保期后，终身上门维修，中标方仅收取人工及材料费。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1.3.7</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项目验收</w:t>
            </w:r>
          </w:p>
        </w:tc>
        <w:tc>
          <w:tcPr>
            <w:tcW w:w="60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新购设备到货检验：货物运到现场后，必须首先经发包方对产品表面检验之后，中标方才能进行施工安装。检验中如发现：包装不是出厂原包装或原包装封条更换；开箱后产品有损坏、缺陷或不符合合同中规定的品牌和质量标准，中标方必须无条件更换合格的产品。</w:t>
            </w:r>
          </w:p>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初验：工程竣工、调试结束后由中标方进行初验，并写出“初验报告单”提交发包方。初验时发包方安排1～2名技术人员参与。初验后，双方在“初验报告单”上签字，合格产品及部件的所有权将由中标方转移给发包方。</w:t>
            </w:r>
          </w:p>
          <w:p>
            <w:pPr>
              <w:keepNext w:val="0"/>
              <w:keepLines w:val="0"/>
              <w:pageBreakBefore w:val="0"/>
              <w:widowControl/>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试运行：发包方获得所有权后对新购设备进行适当时间的联机、烤机运行，若无故障再进行2周的行课试运行。</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终验：在项目竣工结束后2个月内由双方进行最终验收，并填写“项目验收单”，双方签字，各执一份。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本项目招标实行资格后审，投标人应具备以下资格条件：</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1.投标人具有独立承担民事责任的能力；</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2.投标人具有良好的商业信誉和健全的财务会计制度，需提供近</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 xml:space="preserve">年的财务报表； </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3.投标人具有依法缴纳税收和社会保障资金的良好纪录；</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4.投标人具有履行合同所必需的专业技术能力；</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5.投标人参加政府采购活动前三年内，没有骗取中标行为，无不正当理由放弃中标（成交）行为，未进行过恶意投诉，在经营活动中没有违法、违规记录；</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6.投标人具有完善的质量保证和售后服务体系</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1.4.2</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center" w:pos="4153"/>
                <w:tab w:val="right" w:pos="8306"/>
              </w:tabs>
              <w:kinsoku/>
              <w:wordWrap/>
              <w:overflowPunct/>
              <w:topLinePunct w:val="0"/>
              <w:autoSpaceDE/>
              <w:autoSpaceDN/>
              <w:bidi w:val="0"/>
              <w:snapToGrid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由投标人自行踏勘现场。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1.10.1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w:t>
            </w:r>
          </w:p>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分包</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招标文件需修改或根据投标人提出的问题进行修改、澄清或答疑，招标人将在网上发出补遗通知，请投标人自行查阅和下载。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1.投标人对招标文件如有疑问，应在规定的时间内通过88968652发送传真提出。如在规定时间内没有对提出的，视为完全理解并接受招标文件的所有内容。</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2.提出疑问开始时间：同招标公告发布时间</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3.提出疑问结束时间：2022年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26</w:t>
            </w:r>
            <w:r>
              <w:rPr>
                <w:rFonts w:hint="eastAsia" w:asciiTheme="minorEastAsia" w:hAnsiTheme="minorEastAsia" w:eastAsiaTheme="minorEastAsia" w:cstheme="minorEastAsia"/>
                <w:sz w:val="21"/>
                <w:szCs w:val="21"/>
              </w:rPr>
              <w:t>日12:00时（北京时间）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1.招标人对已发出的招标文件需要进行澄清、修改或对疑问作答的，将在重庆财经学院校园网（http://www.cfec.edu.cn）”上发布。</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2.答疑开始时间：同提出疑问结束时间</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3.答疑结束时间：2022年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月2</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日16:00时</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人自行登录重庆财经学院校园网（http://www.cfec.edu.cn）直接下载澄清、修改或对疑问作答的相关资料。不论投标人下载与否，招标人和招标代理机构都视为投标人收到以上资料并全部知晓有关招标过程和事宜，由此产生的一切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投标文件的组成和内容必须实质性响应招标文件的要求，否则将被拒绝。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1.投标文件计量单位：采用国家法定计量单位（标准）；</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2.投标文件的组成必须统一格式（见招标文件第五章内容）</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投标人的投标报价应是本章投标人须知前附表1.3.1项中所述的全部内容的投标报价，如果有任何遗漏，均被视为投标人已经在其投标总价中考虑。</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投标报价包含以下三个部分：</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2.1货物价：货到买方现场落地交货价。</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2.2相关费用：包括附件、技术培训费、运杂费（运至交货地点）、配合费、保险费、设备安装费（含人工费）、安装材料费、辅助材料费、税费以及设备正常使用等需要的所有费用。</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3.免费质保内所需的费用：包含免费质保期内因产品质量问题引起的所有设备维修及人员维修所造成的出差等所有费用（不包括因操作失误或其他人为造成的设备损坏）。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90日历天</w:t>
            </w:r>
            <w:r>
              <w:rPr>
                <w:rFonts w:hint="eastAsia" w:asciiTheme="minorEastAsia" w:hAnsiTheme="minorEastAsia" w:eastAsiaTheme="minorEastAsia" w:cstheme="minorEastAsia"/>
                <w:sz w:val="21"/>
                <w:szCs w:val="21"/>
              </w:rPr>
              <w:t>（从递交投标文件截止日起计算）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pPr>
              <w:pStyle w:val="198"/>
              <w:keepNext w:val="0"/>
              <w:keepLines w:val="0"/>
              <w:pageBreakBefore w:val="0"/>
              <w:kinsoku/>
              <w:wordWrap/>
              <w:overflowPunct/>
              <w:topLinePunct w:val="0"/>
              <w:autoSpaceDE/>
              <w:autoSpaceDN/>
              <w:bidi w:val="0"/>
              <w:spacing w:line="40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1.投标保证金：投标人应提供</w:t>
            </w:r>
            <w:r>
              <w:rPr>
                <w:rFonts w:hint="eastAsia" w:asciiTheme="minorEastAsia" w:hAnsiTheme="minorEastAsia" w:eastAsiaTheme="minorEastAsia" w:cstheme="minorEastAsia"/>
                <w:sz w:val="21"/>
                <w:szCs w:val="21"/>
                <w:lang w:eastAsia="zh-CN"/>
              </w:rPr>
              <w:t>人民币</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000元整（现金）的投标保证金，带至投标现场。</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2.投标保证金的退还：招标人发出中标通知书后15个工作日内，学院退还未列入中标候选人的投标保证金（不计息）。</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3.投标保证金有效期：投标保证金有效期＝投标有效期。</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4.不按要求提交投标保证金的，其投标文件作废标处理。</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5.中标人若在中标通知书发出3日之内拒绝签订合同，其保证金将不予退还；若发生此种情况，招标人有权另选排名在其后的中标候选人为中标人。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本须知前附表1.4.1条要求的相关资料复印件（需要加盖公章）即为审查内容；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3.7.3</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1.投标文件格式上要求签字盖章的地方，必须签字盖章；</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2.所有涉及投标报价、承诺、保证等内容必须签字盖章。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3.7.4</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资格审查资料一式二份；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3.7.5</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投标函</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法定代表人身份证明及授权委托书</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投标人基本情况表</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折扣报价</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相关资质证明及承诺</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售后服务</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投标业绩一览表</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近</w:t>
            </w:r>
            <w:r>
              <w:rPr>
                <w:rFonts w:hint="eastAsia" w:asciiTheme="minorEastAsia" w:hAnsiTheme="minorEastAsia" w:eastAsiaTheme="minorEastAsia" w:cstheme="minorEastAsia"/>
                <w:sz w:val="21"/>
                <w:szCs w:val="21"/>
                <w:lang w:val="en-US" w:eastAsia="zh-CN"/>
              </w:rPr>
              <w:t>一</w:t>
            </w:r>
            <w:r>
              <w:rPr>
                <w:rFonts w:hint="eastAsia" w:asciiTheme="minorEastAsia" w:hAnsiTheme="minorEastAsia" w:eastAsiaTheme="minorEastAsia" w:cstheme="minorEastAsia"/>
                <w:sz w:val="21"/>
                <w:szCs w:val="21"/>
              </w:rPr>
              <w:t>年财务报表</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承诺函</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1.使用投标文件袋</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2.密封并在投标文件袋处加盖投标人单位章，同时投标文件大袋应按本表第4.1.2项的规定写明相应内容。</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3.如果投标文件大袋未按上述规定封装，招标人拒绝接收。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4.1.2</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项目名称：重庆财经学</w:t>
            </w:r>
            <w:r>
              <w:rPr>
                <w:rFonts w:hint="eastAsia" w:asciiTheme="minorEastAsia" w:hAnsiTheme="minorEastAsia" w:eastAsiaTheme="minorEastAsia" w:cstheme="minorEastAsia"/>
                <w:sz w:val="21"/>
                <w:szCs w:val="21"/>
                <w:lang w:eastAsia="zh-CN"/>
              </w:rPr>
              <w:t>院中新金融科技现代产业学院实验实训中心电脑设备采购项目</w:t>
            </w:r>
            <w:r>
              <w:rPr>
                <w:rFonts w:hint="eastAsia" w:asciiTheme="minorEastAsia" w:hAnsiTheme="minorEastAsia" w:eastAsiaTheme="minorEastAsia" w:cstheme="minorEastAsia"/>
                <w:sz w:val="21"/>
                <w:szCs w:val="21"/>
              </w:rPr>
              <w:t xml:space="preserve">  </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（投标人盖章）</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投标文件 在开标前不得开启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2022年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 具体送达时间将于2022年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27</w:t>
            </w:r>
            <w:r>
              <w:rPr>
                <w:rFonts w:hint="eastAsia" w:asciiTheme="minorEastAsia" w:hAnsiTheme="minorEastAsia" w:eastAsiaTheme="minorEastAsia" w:cstheme="minorEastAsia"/>
                <w:sz w:val="21"/>
                <w:szCs w:val="21"/>
              </w:rPr>
              <w:t>日在重庆财经学院校园网（http://www.cfec.edu.cn）通知。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4.2.2</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投标人将投标文件密封送达重庆财经学院行政楼2318 室（地址：重庆市巴南区龙洲湾尚文大道906号）。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4.2.3</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开标会</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开标会由重庆财经学院招标办公室主持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开标时间：暂定2022年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日，如有更改将在重庆财经学院校园网（http://www.cfec.edu.cn）通知。</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开标地点：重庆财经学院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本项目评标委员会按照本次招标文件要求进行评标。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由招标人根据重庆财经学院招投标管理办法组建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否，评标委员会按照由高到低的顺序依次推荐1～3名为中标候选人。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重新招标</w:t>
            </w:r>
          </w:p>
        </w:tc>
        <w:tc>
          <w:tcPr>
            <w:tcW w:w="6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按投标人须知第8.1.（2）执行；</w:t>
            </w:r>
          </w:p>
          <w:p>
            <w:pPr>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按照我校招投标管理办法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pacing w:line="400" w:lineRule="exact"/>
              <w:ind w:left="480"/>
              <w:jc w:val="center"/>
              <w:textAlignment w:val="baseline"/>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1.投标人收到中标通知后3天后，投标保证金自动转为履约保证金。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本项目从签订合同起，中标方应按照招标方的要求在</w:t>
            </w:r>
            <w:r>
              <w:rPr>
                <w:rFonts w:hint="eastAsia" w:asciiTheme="minorEastAsia" w:hAnsiTheme="minorEastAsia" w:eastAsiaTheme="minorEastAsia" w:cstheme="minorEastAsia"/>
                <w:b/>
                <w:sz w:val="21"/>
                <w:szCs w:val="21"/>
                <w:highlight w:val="none"/>
              </w:rPr>
              <w:t>2022年</w:t>
            </w:r>
            <w:r>
              <w:rPr>
                <w:rFonts w:hint="eastAsia" w:asciiTheme="minorEastAsia" w:hAnsiTheme="minorEastAsia" w:eastAsiaTheme="minorEastAsia" w:cstheme="minorEastAsia"/>
                <w:b/>
                <w:sz w:val="21"/>
                <w:szCs w:val="21"/>
                <w:highlight w:val="none"/>
                <w:lang w:val="en-US" w:eastAsia="zh-CN"/>
              </w:rPr>
              <w:t>6</w:t>
            </w:r>
            <w:r>
              <w:rPr>
                <w:rFonts w:hint="eastAsia" w:asciiTheme="minorEastAsia" w:hAnsiTheme="minorEastAsia" w:eastAsiaTheme="minorEastAsia" w:cstheme="minorEastAsia"/>
                <w:b/>
                <w:sz w:val="21"/>
                <w:szCs w:val="21"/>
                <w:highlight w:val="none"/>
              </w:rPr>
              <w:t>月30日</w:t>
            </w:r>
            <w:r>
              <w:rPr>
                <w:rFonts w:hint="eastAsia" w:asciiTheme="minorEastAsia" w:hAnsiTheme="minorEastAsia" w:eastAsiaTheme="minorEastAsia" w:cstheme="minorEastAsia"/>
                <w:b/>
                <w:sz w:val="21"/>
                <w:szCs w:val="21"/>
              </w:rPr>
              <w:t>之前将所提供的</w:t>
            </w:r>
            <w:r>
              <w:rPr>
                <w:rFonts w:hint="eastAsia" w:asciiTheme="minorEastAsia" w:hAnsiTheme="minorEastAsia" w:eastAsiaTheme="minorEastAsia" w:cstheme="minorEastAsia"/>
                <w:b/>
                <w:sz w:val="21"/>
                <w:szCs w:val="21"/>
                <w:lang w:eastAsia="zh-CN"/>
              </w:rPr>
              <w:t>设备</w:t>
            </w:r>
            <w:r>
              <w:rPr>
                <w:rFonts w:hint="eastAsia" w:asciiTheme="minorEastAsia" w:hAnsiTheme="minorEastAsia" w:eastAsiaTheme="minorEastAsia" w:cstheme="minorEastAsia"/>
                <w:b/>
                <w:sz w:val="21"/>
                <w:szCs w:val="21"/>
              </w:rPr>
              <w:t>安装到指定地点。若规定时间内中标方未能完成本项目，招标人有权不退还履约保证金并追究中标方的责任。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w:t>
            </w:r>
            <w:r>
              <w:rPr>
                <w:rFonts w:hint="eastAsia" w:asciiTheme="minorEastAsia" w:hAnsiTheme="minorEastAsia" w:eastAsiaTheme="minorEastAsia" w:cstheme="minorEastAsia"/>
                <w:b/>
                <w:sz w:val="21"/>
                <w:szCs w:val="21"/>
                <w:lang w:val="en-US" w:eastAsia="zh-CN"/>
              </w:rPr>
              <w:t>.</w:t>
            </w:r>
            <w:r>
              <w:rPr>
                <w:rFonts w:hint="eastAsia" w:asciiTheme="minorEastAsia" w:hAnsiTheme="minorEastAsia" w:eastAsiaTheme="minorEastAsia" w:cstheme="minorEastAsia"/>
                <w:b/>
                <w:sz w:val="21"/>
                <w:szCs w:val="21"/>
              </w:rPr>
              <w:t>按合同要求</w:t>
            </w:r>
            <w:r>
              <w:rPr>
                <w:rFonts w:hint="eastAsia" w:asciiTheme="minorEastAsia" w:hAnsiTheme="minorEastAsia" w:eastAsiaTheme="minorEastAsia" w:cstheme="minorEastAsia"/>
                <w:b/>
                <w:sz w:val="21"/>
                <w:szCs w:val="21"/>
                <w:lang w:eastAsia="zh-CN"/>
              </w:rPr>
              <w:t>所有设备安装完成</w:t>
            </w:r>
            <w:r>
              <w:rPr>
                <w:rFonts w:hint="eastAsia" w:asciiTheme="minorEastAsia" w:hAnsiTheme="minorEastAsia" w:eastAsiaTheme="minorEastAsia" w:cstheme="minorEastAsia"/>
                <w:b/>
                <w:sz w:val="21"/>
                <w:szCs w:val="21"/>
              </w:rPr>
              <w:t>、验收合格并履行完验收手续后，甲方通知乙方开具全额正规税务发票并同时提供汇款单位名称、帐号、开户行等，并按相关程度进行款项支付。</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val="en-US" w:eastAsia="zh-CN"/>
              </w:rPr>
              <w:t>.</w:t>
            </w:r>
            <w:r>
              <w:rPr>
                <w:rFonts w:hint="eastAsia" w:asciiTheme="minorEastAsia" w:hAnsiTheme="minorEastAsia" w:eastAsiaTheme="minorEastAsia" w:cstheme="minorEastAsia"/>
                <w:b/>
                <w:sz w:val="21"/>
                <w:szCs w:val="21"/>
              </w:rPr>
              <w:t>付款方式：1</w:t>
            </w:r>
            <w:r>
              <w:rPr>
                <w:rFonts w:hint="eastAsia" w:asciiTheme="minorEastAsia" w:hAnsiTheme="minorEastAsia" w:eastAsiaTheme="minorEastAsia" w:cstheme="minorEastAsia"/>
                <w:b/>
                <w:sz w:val="21"/>
                <w:szCs w:val="21"/>
                <w:lang w:val="en-US" w:eastAsia="zh-CN"/>
              </w:rPr>
              <w:t>.</w:t>
            </w:r>
            <w:r>
              <w:rPr>
                <w:rFonts w:hint="eastAsia" w:asciiTheme="minorEastAsia" w:hAnsiTheme="minorEastAsia" w:eastAsiaTheme="minorEastAsia" w:cstheme="minorEastAsia"/>
                <w:b/>
                <w:sz w:val="21"/>
                <w:szCs w:val="21"/>
              </w:rPr>
              <w:t>按合同要求</w:t>
            </w:r>
            <w:r>
              <w:rPr>
                <w:rFonts w:hint="eastAsia" w:asciiTheme="minorEastAsia" w:hAnsiTheme="minorEastAsia" w:eastAsiaTheme="minorEastAsia" w:cstheme="minorEastAsia"/>
                <w:b/>
                <w:sz w:val="21"/>
                <w:szCs w:val="21"/>
                <w:lang w:eastAsia="zh-CN"/>
              </w:rPr>
              <w:t>所有设备安装完成</w:t>
            </w:r>
            <w:r>
              <w:rPr>
                <w:rFonts w:hint="eastAsia" w:asciiTheme="minorEastAsia" w:hAnsiTheme="minorEastAsia" w:eastAsiaTheme="minorEastAsia" w:cstheme="minorEastAsia"/>
                <w:b/>
                <w:sz w:val="21"/>
                <w:szCs w:val="21"/>
              </w:rPr>
              <w:t>、验收合格并履行完验收手续后，甲方通知乙方开具全额正规税务发票并同时提供汇款单位名称、帐号、开户行等，并按相关程度进行款项支付。</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2</w:t>
            </w:r>
            <w:r>
              <w:rPr>
                <w:rFonts w:hint="eastAsia" w:asciiTheme="minorEastAsia" w:hAnsiTheme="minorEastAsia" w:eastAsiaTheme="minorEastAsia" w:cstheme="minorEastAsia"/>
                <w:b/>
                <w:sz w:val="21"/>
                <w:szCs w:val="21"/>
                <w:lang w:val="en-US" w:eastAsia="zh-CN"/>
              </w:rPr>
              <w:t>.</w:t>
            </w:r>
            <w:r>
              <w:rPr>
                <w:rFonts w:hint="eastAsia" w:asciiTheme="minorEastAsia" w:hAnsiTheme="minorEastAsia" w:eastAsiaTheme="minorEastAsia" w:cstheme="minorEastAsia"/>
                <w:b/>
                <w:sz w:val="21"/>
                <w:szCs w:val="21"/>
              </w:rPr>
              <w:t>付款方式：</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①</w:t>
            </w:r>
            <w:r>
              <w:rPr>
                <w:rFonts w:hint="eastAsia" w:asciiTheme="minorEastAsia" w:hAnsiTheme="minorEastAsia" w:eastAsiaTheme="minorEastAsia" w:cstheme="minorEastAsia"/>
                <w:b/>
                <w:sz w:val="21"/>
                <w:szCs w:val="21"/>
              </w:rPr>
              <w:t>货物安装完毕,待验收合格后，七个工作日支付80%合同款；</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②</w:t>
            </w:r>
            <w:r>
              <w:rPr>
                <w:rFonts w:hint="eastAsia" w:asciiTheme="minorEastAsia" w:hAnsiTheme="minorEastAsia" w:eastAsiaTheme="minorEastAsia" w:cstheme="minorEastAsia"/>
                <w:b/>
                <w:sz w:val="21"/>
                <w:szCs w:val="21"/>
              </w:rPr>
              <w:t>首付款</w:t>
            </w:r>
            <w:r>
              <w:rPr>
                <w:rFonts w:hint="eastAsia" w:asciiTheme="minorEastAsia" w:hAnsiTheme="minorEastAsia" w:eastAsiaTheme="minorEastAsia" w:cstheme="minorEastAsia"/>
                <w:b/>
                <w:sz w:val="21"/>
                <w:szCs w:val="21"/>
                <w:lang w:eastAsia="zh-CN"/>
              </w:rPr>
              <w:t>一</w:t>
            </w:r>
            <w:r>
              <w:rPr>
                <w:rFonts w:hint="eastAsia" w:asciiTheme="minorEastAsia" w:hAnsiTheme="minorEastAsia" w:eastAsiaTheme="minorEastAsia" w:cstheme="minorEastAsia"/>
                <w:b/>
                <w:sz w:val="21"/>
                <w:szCs w:val="21"/>
              </w:rPr>
              <w:t>年后，招标人支付合同款的15%；</w:t>
            </w:r>
          </w:p>
          <w:p>
            <w:pPr>
              <w:keepNext w:val="0"/>
              <w:keepLines w:val="0"/>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③</w:t>
            </w:r>
            <w:r>
              <w:rPr>
                <w:rFonts w:hint="eastAsia" w:asciiTheme="minorEastAsia" w:hAnsiTheme="minorEastAsia" w:eastAsiaTheme="minorEastAsia" w:cstheme="minorEastAsia"/>
                <w:b/>
                <w:sz w:val="21"/>
                <w:szCs w:val="21"/>
              </w:rPr>
              <w:t>质保期满后，招标人支付5%的剩余合同款（无息）。</w:t>
            </w:r>
          </w:p>
        </w:tc>
      </w:tr>
    </w:tbl>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autoSpaceDN/>
        <w:bidi w:val="0"/>
        <w:spacing w:line="400" w:lineRule="exact"/>
        <w:rPr>
          <w:b/>
          <w:szCs w:val="24"/>
        </w:rPr>
      </w:pP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13" w:name="_Toc334774164"/>
      <w:bookmarkStart w:id="14" w:name="_Toc531594735"/>
      <w:bookmarkStart w:id="15" w:name="_Toc32150"/>
      <w:bookmarkStart w:id="16" w:name="_Toc481694469"/>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r>
        <w:rPr>
          <w:rFonts w:hint="eastAsia" w:ascii="方正黑体_GBK" w:hAnsi="方正黑体_GBK" w:eastAsia="方正黑体_GBK" w:cs="方正黑体_GBK"/>
          <w:b/>
          <w:snapToGrid w:val="0"/>
          <w:w w:val="99"/>
          <w:kern w:val="0"/>
          <w:sz w:val="28"/>
          <w:szCs w:val="28"/>
          <w:lang w:val="zh-CN"/>
        </w:rPr>
        <w:t>1</w:t>
      </w:r>
      <w:r>
        <w:rPr>
          <w:rFonts w:hint="eastAsia" w:ascii="方正黑体_GBK" w:hAnsi="方正黑体_GBK" w:eastAsia="方正黑体_GBK" w:cs="方正黑体_GBK"/>
          <w:b/>
          <w:snapToGrid w:val="0"/>
          <w:w w:val="99"/>
          <w:kern w:val="0"/>
          <w:sz w:val="28"/>
          <w:szCs w:val="28"/>
          <w:lang w:val="en-US" w:eastAsia="zh-CN"/>
        </w:rPr>
        <w:t>.</w:t>
      </w:r>
      <w:r>
        <w:rPr>
          <w:rFonts w:hint="eastAsia" w:ascii="方正黑体_GBK" w:hAnsi="方正黑体_GBK" w:eastAsia="方正黑体_GBK" w:cs="方正黑体_GBK"/>
          <w:b/>
          <w:snapToGrid w:val="0"/>
          <w:w w:val="99"/>
          <w:kern w:val="0"/>
          <w:sz w:val="28"/>
          <w:szCs w:val="28"/>
          <w:lang w:val="zh-CN"/>
        </w:rPr>
        <w:t>总则</w:t>
      </w:r>
      <w:bookmarkEnd w:id="13"/>
      <w:bookmarkEnd w:id="14"/>
      <w:bookmarkEnd w:id="15"/>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7" w:name="_Toc12010"/>
      <w:bookmarkStart w:id="18" w:name="_Toc531594736"/>
      <w:bookmarkStart w:id="19" w:name="_Toc334774165"/>
      <w:bookmarkStart w:id="20" w:name="_Toc317863423"/>
      <w:bookmarkStart w:id="21" w:name="_Toc200513127"/>
      <w:bookmarkStart w:id="22" w:name="_Toc325636581"/>
      <w:r>
        <w:rPr>
          <w:rFonts w:hint="eastAsia" w:ascii="方正黑体_GBK" w:hAnsi="方正黑体_GBK" w:eastAsia="方正黑体_GBK" w:cs="方正黑体_GBK"/>
          <w:b/>
          <w:snapToGrid w:val="0"/>
          <w:kern w:val="0"/>
          <w:sz w:val="24"/>
          <w:szCs w:val="24"/>
          <w:lang w:val="en-US" w:eastAsia="zh-CN"/>
        </w:rPr>
        <w:t xml:space="preserve">1.1 </w:t>
      </w:r>
      <w:r>
        <w:rPr>
          <w:rFonts w:hint="eastAsia" w:ascii="方正黑体_GBK" w:hAnsi="方正黑体_GBK" w:eastAsia="方正黑体_GBK" w:cs="方正黑体_GBK"/>
          <w:b/>
          <w:snapToGrid w:val="0"/>
          <w:kern w:val="0"/>
          <w:sz w:val="24"/>
          <w:szCs w:val="24"/>
          <w:lang w:val="zh-CN"/>
        </w:rPr>
        <w:t>项目概况</w:t>
      </w:r>
      <w:bookmarkEnd w:id="17"/>
      <w:bookmarkEnd w:id="18"/>
      <w:bookmarkEnd w:id="19"/>
    </w:p>
    <w:p>
      <w:pPr>
        <w:keepNext w:val="0"/>
        <w:keepLines w:val="0"/>
        <w:pageBreakBefore w:val="0"/>
        <w:kinsoku/>
        <w:wordWrap/>
        <w:overflowPunct/>
        <w:topLinePunct w:val="0"/>
        <w:autoSpaceDE w:val="0"/>
        <w:autoSpaceDN w:val="0"/>
        <w:bidi w:val="0"/>
        <w:spacing w:line="520" w:lineRule="exact"/>
        <w:contextualSpacing/>
        <w:jc w:val="left"/>
        <w:rPr>
          <w:rFonts w:hint="eastAsia" w:ascii="仿宋" w:hAnsi="仿宋" w:eastAsia="仿宋" w:cs="仿宋"/>
          <w:bCs/>
          <w:kern w:val="0"/>
          <w:sz w:val="28"/>
          <w:szCs w:val="28"/>
        </w:rPr>
      </w:pPr>
      <w:r>
        <w:rPr>
          <w:rFonts w:hint="eastAsia" w:ascii="仿宋" w:hAnsi="仿宋" w:eastAsia="仿宋" w:cs="仿宋"/>
          <w:bCs/>
          <w:kern w:val="0"/>
          <w:sz w:val="28"/>
          <w:szCs w:val="28"/>
          <w:lang w:val="en-US" w:eastAsia="zh-CN"/>
        </w:rPr>
        <w:t>1.1.1</w:t>
      </w:r>
      <w:r>
        <w:rPr>
          <w:rFonts w:hint="eastAsia" w:ascii="仿宋" w:hAnsi="仿宋" w:eastAsia="仿宋" w:cs="仿宋"/>
          <w:bCs/>
          <w:kern w:val="0"/>
          <w:sz w:val="28"/>
          <w:szCs w:val="28"/>
        </w:rPr>
        <w:t xml:space="preserve"> 根据《中华人民共和国招标投标法》等有关法律、法规和规章的规定，对本项目货物采购及服务进行公开招标。</w:t>
      </w:r>
    </w:p>
    <w:p>
      <w:pPr>
        <w:keepNext w:val="0"/>
        <w:keepLines w:val="0"/>
        <w:pageBreakBefore w:val="0"/>
        <w:kinsoku/>
        <w:wordWrap/>
        <w:overflowPunct/>
        <w:topLinePunct w:val="0"/>
        <w:autoSpaceDE w:val="0"/>
        <w:autoSpaceDN w:val="0"/>
        <w:bidi w:val="0"/>
        <w:spacing w:line="520" w:lineRule="exact"/>
        <w:contextualSpacing/>
        <w:jc w:val="left"/>
        <w:rPr>
          <w:rFonts w:hint="eastAsia" w:ascii="仿宋" w:hAnsi="仿宋" w:eastAsia="仿宋" w:cs="仿宋"/>
          <w:bCs/>
          <w:kern w:val="0"/>
          <w:sz w:val="28"/>
          <w:szCs w:val="28"/>
        </w:rPr>
      </w:pPr>
      <w:r>
        <w:rPr>
          <w:rFonts w:hint="eastAsia" w:ascii="仿宋" w:hAnsi="仿宋" w:eastAsia="仿宋" w:cs="仿宋"/>
          <w:bCs/>
          <w:kern w:val="0"/>
          <w:sz w:val="28"/>
          <w:szCs w:val="28"/>
        </w:rPr>
        <w:t>1.1.2 本招标项目名称、项目地点：见投标人需知前附表。</w:t>
      </w:r>
    </w:p>
    <w:p>
      <w:pPr>
        <w:keepNext w:val="0"/>
        <w:keepLines w:val="0"/>
        <w:pageBreakBefore w:val="0"/>
        <w:kinsoku/>
        <w:wordWrap/>
        <w:overflowPunct/>
        <w:topLinePunct w:val="0"/>
        <w:autoSpaceDE w:val="0"/>
        <w:autoSpaceDN w:val="0"/>
        <w:bidi w:val="0"/>
        <w:spacing w:line="520" w:lineRule="exact"/>
        <w:contextualSpacing/>
        <w:jc w:val="left"/>
        <w:rPr>
          <w:rFonts w:hint="eastAsia" w:ascii="仿宋" w:hAnsi="仿宋" w:eastAsia="仿宋" w:cs="仿宋"/>
          <w:bCs/>
          <w:kern w:val="0"/>
          <w:sz w:val="28"/>
          <w:szCs w:val="28"/>
        </w:rPr>
      </w:pPr>
      <w:r>
        <w:rPr>
          <w:rFonts w:hint="eastAsia" w:ascii="仿宋" w:hAnsi="仿宋" w:eastAsia="仿宋" w:cs="仿宋"/>
          <w:bCs/>
          <w:kern w:val="0"/>
          <w:sz w:val="28"/>
          <w:szCs w:val="28"/>
        </w:rPr>
        <w:t>1.1.3 招标人名称、地址、联系方式：见投标人需知前附表。</w:t>
      </w:r>
    </w:p>
    <w:bookmarkEnd w:id="20"/>
    <w:bookmarkEnd w:id="21"/>
    <w:bookmarkEnd w:id="22"/>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3" w:name="_Toc325636582"/>
      <w:bookmarkStart w:id="24" w:name="_Toc317863424"/>
      <w:bookmarkStart w:id="25" w:name="_Toc200513128"/>
      <w:bookmarkStart w:id="26" w:name="_Toc531594737"/>
      <w:bookmarkStart w:id="27" w:name="_Toc31904"/>
      <w:bookmarkStart w:id="28" w:name="_Toc334774166"/>
      <w:r>
        <w:rPr>
          <w:rFonts w:hint="eastAsia" w:ascii="方正黑体_GBK" w:hAnsi="方正黑体_GBK" w:eastAsia="方正黑体_GBK" w:cs="方正黑体_GBK"/>
          <w:b/>
          <w:snapToGrid w:val="0"/>
          <w:kern w:val="0"/>
          <w:sz w:val="24"/>
          <w:szCs w:val="24"/>
          <w:lang w:val="zh-CN"/>
        </w:rPr>
        <w:t xml:space="preserve">1.2 </w:t>
      </w:r>
      <w:bookmarkEnd w:id="23"/>
      <w:bookmarkEnd w:id="24"/>
      <w:bookmarkEnd w:id="25"/>
      <w:r>
        <w:rPr>
          <w:rFonts w:hint="eastAsia" w:ascii="方正黑体_GBK" w:hAnsi="方正黑体_GBK" w:eastAsia="方正黑体_GBK" w:cs="方正黑体_GBK"/>
          <w:b/>
          <w:snapToGrid w:val="0"/>
          <w:kern w:val="0"/>
          <w:sz w:val="24"/>
          <w:szCs w:val="24"/>
          <w:lang w:val="zh-CN"/>
        </w:rPr>
        <w:t>资金来源和落实情况</w:t>
      </w:r>
      <w:bookmarkEnd w:id="26"/>
      <w:bookmarkEnd w:id="27"/>
      <w:bookmarkEnd w:id="28"/>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1.2.1 本招标项目的资金来源：见投标人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1.2.2 本招标项目的资金落实情况：见投标人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9" w:name="_Toc317863425"/>
      <w:bookmarkStart w:id="30" w:name="_Toc200513129"/>
      <w:bookmarkStart w:id="31" w:name="_Toc325636583"/>
      <w:bookmarkStart w:id="32" w:name="_Toc334774167"/>
      <w:bookmarkStart w:id="33" w:name="_Toc21275"/>
      <w:bookmarkStart w:id="34" w:name="_Toc531594738"/>
      <w:r>
        <w:rPr>
          <w:rFonts w:hint="eastAsia" w:ascii="方正黑体_GBK" w:hAnsi="方正黑体_GBK" w:eastAsia="方正黑体_GBK" w:cs="方正黑体_GBK"/>
          <w:b/>
          <w:snapToGrid w:val="0"/>
          <w:kern w:val="0"/>
          <w:sz w:val="24"/>
          <w:szCs w:val="24"/>
          <w:lang w:val="zh-CN"/>
        </w:rPr>
        <w:t>1.3 招标</w:t>
      </w:r>
      <w:bookmarkEnd w:id="29"/>
      <w:bookmarkEnd w:id="30"/>
      <w:r>
        <w:rPr>
          <w:rFonts w:hint="eastAsia" w:ascii="方正黑体_GBK" w:hAnsi="方正黑体_GBK" w:eastAsia="方正黑体_GBK" w:cs="方正黑体_GBK"/>
          <w:b/>
          <w:snapToGrid w:val="0"/>
          <w:kern w:val="0"/>
          <w:sz w:val="24"/>
          <w:szCs w:val="24"/>
          <w:lang w:val="zh-CN"/>
        </w:rPr>
        <w:t>内容</w:t>
      </w:r>
      <w:bookmarkEnd w:id="31"/>
      <w:bookmarkEnd w:id="32"/>
      <w:bookmarkEnd w:id="33"/>
      <w:bookmarkEnd w:id="34"/>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1.3.1 本次招标范围：见投标人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1.3.2 交货方式、交货时间：见投标人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1.3.3 伴随服务要求：见投标人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1.3.4 质量保证期：见投标人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1.3.5 质量要求：见投标人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1.3.6 售后服务：见投标人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1.3.7 项目验收：见投标人</w:t>
      </w:r>
      <w:r>
        <w:rPr>
          <w:rFonts w:hint="eastAsia" w:ascii="仿宋" w:hAnsi="仿宋" w:eastAsia="仿宋" w:cs="仿宋"/>
          <w:bCs/>
          <w:kern w:val="0"/>
          <w:sz w:val="28"/>
          <w:szCs w:val="28"/>
        </w:rPr>
        <w:t>需</w:t>
      </w:r>
      <w:r>
        <w:rPr>
          <w:rFonts w:hint="eastAsia" w:ascii="仿宋" w:hAnsi="仿宋" w:eastAsia="仿宋" w:cs="仿宋"/>
          <w:snapToGrid w:val="0"/>
          <w:kern w:val="0"/>
          <w:sz w:val="28"/>
          <w:szCs w:val="28"/>
        </w:rPr>
        <w:t>知前附表。</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35" w:name="_Toc334774168"/>
      <w:bookmarkStart w:id="36" w:name="_Toc325636584"/>
      <w:bookmarkStart w:id="37" w:name="_Toc8901"/>
      <w:bookmarkStart w:id="38" w:name="_Toc531594739"/>
      <w:r>
        <w:rPr>
          <w:rFonts w:hint="eastAsia" w:ascii="方正黑体_GBK" w:hAnsi="方正黑体_GBK" w:eastAsia="方正黑体_GBK" w:cs="方正黑体_GBK"/>
          <w:b/>
          <w:snapToGrid w:val="0"/>
          <w:kern w:val="0"/>
          <w:sz w:val="24"/>
          <w:szCs w:val="24"/>
          <w:lang w:val="zh-CN"/>
        </w:rPr>
        <w:t>1.4 投标人资格要求</w:t>
      </w:r>
      <w:bookmarkEnd w:id="35"/>
      <w:bookmarkEnd w:id="36"/>
      <w:bookmarkEnd w:id="37"/>
      <w:bookmarkEnd w:id="38"/>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1.4.1</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投标人应具备承担本项目的资质条件、能力和信誉。</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1.4.2 本项目不接受联合体投标。</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1.4.3 投标人不得存在下列情形之一：</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1.4.3.1 </w:t>
      </w:r>
      <w:r>
        <w:rPr>
          <w:rFonts w:hint="eastAsia" w:ascii="仿宋" w:hAnsi="仿宋" w:eastAsia="仿宋" w:cs="仿宋"/>
          <w:snapToGrid w:val="0"/>
          <w:kern w:val="0"/>
          <w:sz w:val="28"/>
          <w:szCs w:val="28"/>
        </w:rPr>
        <w:t>与国有资金投资或国家融资项目的招标人或招标代理机构有控股关系；</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1.4.3.2 </w:t>
      </w:r>
      <w:r>
        <w:rPr>
          <w:rFonts w:hint="eastAsia" w:ascii="仿宋" w:hAnsi="仿宋" w:eastAsia="仿宋" w:cs="仿宋"/>
          <w:snapToGrid w:val="0"/>
          <w:kern w:val="0"/>
          <w:sz w:val="28"/>
          <w:szCs w:val="28"/>
        </w:rPr>
        <w:t>单位负责人为同一人或者存在控股、管理关系的不同单位，不得参加同一标段投标或者未划分标段的同一招标项目投标。</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1.4.3.3 </w:t>
      </w:r>
      <w:r>
        <w:rPr>
          <w:rFonts w:hint="eastAsia" w:ascii="仿宋" w:hAnsi="仿宋" w:eastAsia="仿宋" w:cs="仿宋"/>
          <w:snapToGrid w:val="0"/>
          <w:kern w:val="0"/>
          <w:sz w:val="28"/>
          <w:szCs w:val="28"/>
        </w:rPr>
        <w:t>为参加同一招标项目投标的其他投标人编制投标文件或提供咨询服务；</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1.4.3.4 </w:t>
      </w:r>
      <w:r>
        <w:rPr>
          <w:rFonts w:hint="eastAsia" w:ascii="仿宋" w:hAnsi="仿宋" w:eastAsia="仿宋" w:cs="仿宋"/>
          <w:snapToGrid w:val="0"/>
          <w:kern w:val="0"/>
          <w:sz w:val="28"/>
          <w:szCs w:val="28"/>
        </w:rPr>
        <w:t>被有关行政部门暂停投标资格期限未满。</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39" w:name="_Toc531594740"/>
      <w:bookmarkStart w:id="40" w:name="_Toc325636585"/>
      <w:bookmarkStart w:id="41" w:name="_Toc317863427"/>
      <w:bookmarkStart w:id="42" w:name="_Toc17569"/>
      <w:bookmarkStart w:id="43" w:name="_Toc200513132"/>
      <w:bookmarkStart w:id="44" w:name="_Toc334774169"/>
      <w:r>
        <w:rPr>
          <w:rFonts w:hint="eastAsia" w:ascii="方正黑体_GBK" w:hAnsi="方正黑体_GBK" w:eastAsia="方正黑体_GBK" w:cs="方正黑体_GBK"/>
          <w:b/>
          <w:snapToGrid w:val="0"/>
          <w:kern w:val="0"/>
          <w:sz w:val="24"/>
          <w:szCs w:val="24"/>
          <w:lang w:val="zh-CN"/>
        </w:rPr>
        <w:t>1.5 费用承担</w:t>
      </w:r>
      <w:bookmarkEnd w:id="39"/>
      <w:bookmarkEnd w:id="40"/>
      <w:bookmarkEnd w:id="41"/>
      <w:bookmarkEnd w:id="42"/>
      <w:bookmarkEnd w:id="43"/>
      <w:bookmarkEnd w:id="44"/>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不论投标结果如何，投标人应自行承担其准备和参加本投标活动所涉及的一切费用。</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45" w:name="_Toc200513133"/>
      <w:bookmarkStart w:id="46" w:name="_Toc317863428"/>
      <w:bookmarkStart w:id="47" w:name="_Toc334774170"/>
      <w:bookmarkStart w:id="48" w:name="_Toc325636586"/>
      <w:r>
        <w:rPr>
          <w:rFonts w:hint="eastAsia" w:ascii="方正黑体_GBK" w:hAnsi="方正黑体_GBK" w:eastAsia="方正黑体_GBK" w:cs="方正黑体_GBK"/>
          <w:b/>
          <w:snapToGrid w:val="0"/>
          <w:kern w:val="0"/>
          <w:sz w:val="24"/>
          <w:szCs w:val="24"/>
          <w:lang w:val="zh-CN"/>
        </w:rPr>
        <w:t>1.6 保密</w:t>
      </w:r>
      <w:bookmarkEnd w:id="45"/>
      <w:bookmarkEnd w:id="46"/>
      <w:bookmarkEnd w:id="47"/>
      <w:bookmarkEnd w:id="48"/>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参与招标投标活动的各方应对招标文件和投标文件中的商业和技术等秘密保密，违者应对由此造成的后果承担法律责任。</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49" w:name="_Toc325636587"/>
      <w:bookmarkStart w:id="50" w:name="_Toc334774171"/>
      <w:bookmarkStart w:id="51" w:name="_Toc19952"/>
      <w:bookmarkStart w:id="52" w:name="_Toc200513134"/>
      <w:bookmarkStart w:id="53" w:name="_Toc317863429"/>
      <w:bookmarkStart w:id="54" w:name="_Toc531594741"/>
      <w:r>
        <w:rPr>
          <w:rFonts w:hint="eastAsia" w:ascii="方正黑体_GBK" w:hAnsi="方正黑体_GBK" w:eastAsia="方正黑体_GBK" w:cs="方正黑体_GBK"/>
          <w:b/>
          <w:snapToGrid w:val="0"/>
          <w:kern w:val="0"/>
          <w:sz w:val="24"/>
          <w:szCs w:val="24"/>
          <w:lang w:val="zh-CN"/>
        </w:rPr>
        <w:t>1.7 语言文字</w:t>
      </w:r>
      <w:bookmarkEnd w:id="49"/>
      <w:bookmarkEnd w:id="50"/>
      <w:bookmarkEnd w:id="51"/>
      <w:bookmarkEnd w:id="52"/>
      <w:bookmarkEnd w:id="53"/>
      <w:bookmarkEnd w:id="54"/>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除专用术语外，与招标投标有关的语言均使用中文。必要时专用术语应附有中文注释。</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55" w:name="_Toc531594742"/>
      <w:bookmarkStart w:id="56" w:name="_Toc200513135"/>
      <w:bookmarkStart w:id="57" w:name="_Toc317863430"/>
      <w:bookmarkStart w:id="58" w:name="_Toc334774172"/>
      <w:bookmarkStart w:id="59" w:name="_Toc325636588"/>
      <w:bookmarkStart w:id="60" w:name="_Toc16650"/>
      <w:r>
        <w:rPr>
          <w:rFonts w:hint="eastAsia" w:ascii="方正黑体_GBK" w:hAnsi="方正黑体_GBK" w:eastAsia="方正黑体_GBK" w:cs="方正黑体_GBK"/>
          <w:b/>
          <w:snapToGrid w:val="0"/>
          <w:kern w:val="0"/>
          <w:sz w:val="24"/>
          <w:szCs w:val="24"/>
          <w:lang w:val="zh-CN"/>
        </w:rPr>
        <w:t>1.8 计量单位</w:t>
      </w:r>
      <w:bookmarkEnd w:id="55"/>
      <w:bookmarkEnd w:id="56"/>
      <w:bookmarkEnd w:id="57"/>
      <w:bookmarkEnd w:id="58"/>
      <w:bookmarkEnd w:id="59"/>
      <w:bookmarkEnd w:id="60"/>
    </w:p>
    <w:p>
      <w:pPr>
        <w:keepNext w:val="0"/>
        <w:keepLines w:val="0"/>
        <w:pageBreakBefore w:val="0"/>
        <w:kinsoku/>
        <w:wordWrap/>
        <w:overflowPunct/>
        <w:topLinePunct w:val="0"/>
        <w:autoSpaceDE w:val="0"/>
        <w:autoSpaceDN w:val="0"/>
        <w:bidi w:val="0"/>
        <w:adjustRightInd w:val="0"/>
        <w:snapToGrid w:val="0"/>
        <w:spacing w:line="520" w:lineRule="exact"/>
        <w:ind w:firstLine="565" w:firstLineChars="202"/>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所有计量均采用中华人民共和国法定计量单位。</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61" w:name="_Toc200513136"/>
      <w:bookmarkStart w:id="62" w:name="_Toc317863431"/>
      <w:bookmarkStart w:id="63" w:name="_Toc26520"/>
      <w:bookmarkStart w:id="64" w:name="_Toc325636589"/>
      <w:bookmarkStart w:id="65" w:name="_Toc334774173"/>
      <w:bookmarkStart w:id="66" w:name="_Toc531594743"/>
      <w:r>
        <w:rPr>
          <w:rFonts w:hint="eastAsia" w:ascii="方正黑体_GBK" w:hAnsi="方正黑体_GBK" w:eastAsia="方正黑体_GBK" w:cs="方正黑体_GBK"/>
          <w:b/>
          <w:snapToGrid w:val="0"/>
          <w:kern w:val="0"/>
          <w:sz w:val="24"/>
          <w:szCs w:val="24"/>
          <w:lang w:val="zh-CN"/>
        </w:rPr>
        <w:t>1.9 踏勘现场</w:t>
      </w:r>
      <w:bookmarkEnd w:id="61"/>
      <w:bookmarkEnd w:id="62"/>
      <w:bookmarkEnd w:id="63"/>
      <w:bookmarkEnd w:id="64"/>
      <w:bookmarkEnd w:id="65"/>
      <w:bookmarkEnd w:id="66"/>
      <w:bookmarkStart w:id="67" w:name="_Toc531594744"/>
      <w:bookmarkStart w:id="68" w:name="_Toc325636590"/>
      <w:bookmarkStart w:id="69" w:name="_Toc317863432"/>
      <w:bookmarkStart w:id="70" w:name="_Toc200513137"/>
      <w:bookmarkStart w:id="71" w:name="_Toc11658"/>
      <w:bookmarkStart w:id="72" w:name="_Toc334774174"/>
    </w:p>
    <w:bookmarkEnd w:id="67"/>
    <w:p>
      <w:pPr>
        <w:keepNext w:val="0"/>
        <w:keepLines w:val="0"/>
        <w:pageBreakBefore w:val="0"/>
        <w:kinsoku/>
        <w:wordWrap/>
        <w:overflowPunct/>
        <w:topLinePunct w:val="0"/>
        <w:autoSpaceDE w:val="0"/>
        <w:autoSpaceDN w:val="0"/>
        <w:bidi w:val="0"/>
        <w:adjustRightInd w:val="0"/>
        <w:snapToGrid w:val="0"/>
        <w:spacing w:line="520" w:lineRule="exact"/>
        <w:ind w:firstLine="565" w:firstLineChars="202"/>
        <w:jc w:val="left"/>
        <w:rPr>
          <w:rFonts w:hint="eastAsia" w:ascii="仿宋" w:hAnsi="仿宋" w:eastAsia="仿宋" w:cs="仿宋"/>
          <w:snapToGrid w:val="0"/>
          <w:kern w:val="0"/>
          <w:sz w:val="28"/>
          <w:szCs w:val="28"/>
        </w:rPr>
      </w:pPr>
      <w:bookmarkStart w:id="73" w:name="_Toc531594745"/>
      <w:r>
        <w:rPr>
          <w:rFonts w:hint="eastAsia" w:ascii="仿宋" w:hAnsi="仿宋" w:eastAsia="仿宋" w:cs="仿宋"/>
          <w:snapToGrid w:val="0"/>
          <w:kern w:val="0"/>
          <w:sz w:val="28"/>
          <w:szCs w:val="28"/>
        </w:rPr>
        <w:t>由投标人自行踏勘现场。</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r>
        <w:rPr>
          <w:rFonts w:hint="eastAsia" w:ascii="方正黑体_GBK" w:hAnsi="方正黑体_GBK" w:eastAsia="方正黑体_GBK" w:cs="方正黑体_GBK"/>
          <w:b/>
          <w:snapToGrid w:val="0"/>
          <w:kern w:val="0"/>
          <w:sz w:val="24"/>
          <w:szCs w:val="24"/>
          <w:lang w:val="zh-CN"/>
        </w:rPr>
        <w:t>1.10 投标预备会</w:t>
      </w:r>
      <w:bookmarkEnd w:id="68"/>
      <w:bookmarkEnd w:id="69"/>
      <w:bookmarkEnd w:id="70"/>
      <w:bookmarkEnd w:id="71"/>
      <w:bookmarkEnd w:id="72"/>
      <w:bookmarkEnd w:id="73"/>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本项目不组织投标预备会。</w:t>
      </w:r>
      <w:bookmarkStart w:id="74" w:name="_Toc200513139"/>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75" w:name="_Toc325636593"/>
      <w:bookmarkStart w:id="76" w:name="_Toc334774176"/>
      <w:bookmarkStart w:id="77" w:name="_Toc19903"/>
      <w:bookmarkStart w:id="78" w:name="_Toc317863435"/>
      <w:bookmarkStart w:id="79" w:name="_Toc531594746"/>
      <w:r>
        <w:rPr>
          <w:rFonts w:hint="eastAsia" w:ascii="方正黑体_GBK" w:hAnsi="方正黑体_GBK" w:eastAsia="方正黑体_GBK" w:cs="方正黑体_GBK"/>
          <w:b/>
          <w:snapToGrid w:val="0"/>
          <w:kern w:val="0"/>
          <w:sz w:val="24"/>
          <w:szCs w:val="24"/>
          <w:lang w:val="zh-CN"/>
        </w:rPr>
        <w:t>1.11 偏离</w:t>
      </w:r>
      <w:bookmarkEnd w:id="74"/>
      <w:bookmarkEnd w:id="75"/>
      <w:bookmarkEnd w:id="76"/>
      <w:bookmarkEnd w:id="77"/>
      <w:bookmarkEnd w:id="78"/>
      <w:bookmarkEnd w:id="79"/>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投标人需知前附表允许投标文件偏离招标文件某些要求的，偏离应当符合招标文件规定的偏离范围和幅度。</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eastAsia="zh-CN"/>
        </w:rPr>
      </w:pPr>
      <w:bookmarkStart w:id="80" w:name="_Toc778"/>
      <w:bookmarkStart w:id="81" w:name="_Toc531594747"/>
      <w:bookmarkStart w:id="82" w:name="_Toc334774177"/>
      <w:bookmarkStart w:id="83" w:name="_Toc200513140"/>
      <w:bookmarkStart w:id="84" w:name="_Toc317863436"/>
      <w:r>
        <w:rPr>
          <w:rFonts w:hint="eastAsia" w:ascii="方正黑体_GBK" w:hAnsi="方正黑体_GBK" w:eastAsia="方正黑体_GBK" w:cs="方正黑体_GBK"/>
          <w:b/>
          <w:snapToGrid w:val="0"/>
          <w:w w:val="99"/>
          <w:kern w:val="0"/>
          <w:sz w:val="28"/>
          <w:szCs w:val="28"/>
          <w:lang w:val="zh-CN" w:eastAsia="zh-CN"/>
        </w:rPr>
        <w:t>2.招标文件</w:t>
      </w:r>
      <w:bookmarkEnd w:id="80"/>
      <w:bookmarkEnd w:id="81"/>
      <w:bookmarkEnd w:id="82"/>
      <w:bookmarkEnd w:id="83"/>
      <w:bookmarkEnd w:id="84"/>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85" w:name="_Toc531594748"/>
      <w:bookmarkStart w:id="86" w:name="_Toc325636595"/>
      <w:bookmarkStart w:id="87" w:name="_Toc334774178"/>
      <w:bookmarkStart w:id="88" w:name="_Toc32194"/>
      <w:bookmarkStart w:id="89" w:name="_Toc200513141"/>
      <w:bookmarkStart w:id="90" w:name="_Toc317863437"/>
      <w:r>
        <w:rPr>
          <w:rFonts w:hint="eastAsia" w:ascii="方正黑体_GBK" w:hAnsi="方正黑体_GBK" w:eastAsia="方正黑体_GBK" w:cs="方正黑体_GBK"/>
          <w:b/>
          <w:snapToGrid w:val="0"/>
          <w:kern w:val="0"/>
          <w:sz w:val="24"/>
          <w:szCs w:val="24"/>
          <w:lang w:val="zh-CN"/>
        </w:rPr>
        <w:t>2.1 招标文件的组成</w:t>
      </w:r>
      <w:bookmarkEnd w:id="85"/>
      <w:bookmarkEnd w:id="86"/>
      <w:bookmarkEnd w:id="87"/>
      <w:bookmarkEnd w:id="88"/>
      <w:bookmarkEnd w:id="89"/>
      <w:bookmarkEnd w:id="90"/>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本招标文件包括：</w:t>
      </w:r>
    </w:p>
    <w:p>
      <w:pPr>
        <w:keepNext w:val="0"/>
        <w:keepLines w:val="0"/>
        <w:pageBreakBefore w:val="0"/>
        <w:kinsoku/>
        <w:wordWrap/>
        <w:overflowPunct/>
        <w:topLinePunct w:val="0"/>
        <w:autoSpaceDE w:val="0"/>
        <w:autoSpaceDN w:val="0"/>
        <w:bidi w:val="0"/>
        <w:adjustRightInd w:val="0"/>
        <w:snapToGrid w:val="0"/>
        <w:spacing w:line="520" w:lineRule="exact"/>
        <w:ind w:left="410" w:leftChars="171"/>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（1）招标公告；</w:t>
      </w:r>
    </w:p>
    <w:p>
      <w:pPr>
        <w:keepNext w:val="0"/>
        <w:keepLines w:val="0"/>
        <w:pageBreakBefore w:val="0"/>
        <w:kinsoku/>
        <w:wordWrap/>
        <w:overflowPunct/>
        <w:topLinePunct w:val="0"/>
        <w:autoSpaceDE w:val="0"/>
        <w:autoSpaceDN w:val="0"/>
        <w:bidi w:val="0"/>
        <w:adjustRightInd w:val="0"/>
        <w:snapToGrid w:val="0"/>
        <w:spacing w:line="520" w:lineRule="exact"/>
        <w:ind w:left="410" w:leftChars="171"/>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（2）投标人须知；</w:t>
      </w:r>
    </w:p>
    <w:p>
      <w:pPr>
        <w:keepNext w:val="0"/>
        <w:keepLines w:val="0"/>
        <w:pageBreakBefore w:val="0"/>
        <w:kinsoku/>
        <w:wordWrap/>
        <w:overflowPunct/>
        <w:topLinePunct w:val="0"/>
        <w:autoSpaceDE w:val="0"/>
        <w:autoSpaceDN w:val="0"/>
        <w:bidi w:val="0"/>
        <w:adjustRightInd w:val="0"/>
        <w:snapToGrid w:val="0"/>
        <w:spacing w:line="520" w:lineRule="exact"/>
        <w:ind w:left="410" w:leftChars="171"/>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（3）评标办法；</w:t>
      </w:r>
    </w:p>
    <w:p>
      <w:pPr>
        <w:keepNext w:val="0"/>
        <w:keepLines w:val="0"/>
        <w:pageBreakBefore w:val="0"/>
        <w:kinsoku/>
        <w:wordWrap/>
        <w:overflowPunct/>
        <w:topLinePunct w:val="0"/>
        <w:autoSpaceDE w:val="0"/>
        <w:autoSpaceDN w:val="0"/>
        <w:bidi w:val="0"/>
        <w:adjustRightInd w:val="0"/>
        <w:snapToGrid w:val="0"/>
        <w:spacing w:line="520" w:lineRule="exact"/>
        <w:ind w:left="410" w:leftChars="171"/>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（4）技术标准和要求；</w:t>
      </w:r>
    </w:p>
    <w:p>
      <w:pPr>
        <w:keepNext w:val="0"/>
        <w:keepLines w:val="0"/>
        <w:pageBreakBefore w:val="0"/>
        <w:kinsoku/>
        <w:wordWrap/>
        <w:overflowPunct/>
        <w:topLinePunct w:val="0"/>
        <w:autoSpaceDE w:val="0"/>
        <w:autoSpaceDN w:val="0"/>
        <w:bidi w:val="0"/>
        <w:adjustRightInd w:val="0"/>
        <w:snapToGrid w:val="0"/>
        <w:spacing w:line="520" w:lineRule="exact"/>
        <w:ind w:left="410" w:leftChars="171"/>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（5）投标文件格式；</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根据本章第1.10款、第2.2款和第2.3款对招标文件所作的澄清、修改，构成招标文件的组成部分。</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91" w:name="_Toc200513142"/>
      <w:bookmarkStart w:id="92" w:name="_Toc317863438"/>
      <w:bookmarkStart w:id="93" w:name="_Toc325636596"/>
      <w:bookmarkStart w:id="94" w:name="_Toc334774179"/>
      <w:bookmarkStart w:id="95" w:name="_Toc13635"/>
      <w:bookmarkStart w:id="96" w:name="_Toc531594749"/>
      <w:r>
        <w:rPr>
          <w:rFonts w:hint="eastAsia" w:ascii="方正黑体_GBK" w:hAnsi="方正黑体_GBK" w:eastAsia="方正黑体_GBK" w:cs="方正黑体_GBK"/>
          <w:b/>
          <w:snapToGrid w:val="0"/>
          <w:kern w:val="0"/>
          <w:sz w:val="24"/>
          <w:szCs w:val="24"/>
          <w:lang w:val="zh-CN"/>
        </w:rPr>
        <w:t xml:space="preserve">2.2 </w:t>
      </w:r>
      <w:bookmarkEnd w:id="91"/>
      <w:bookmarkEnd w:id="92"/>
      <w:bookmarkEnd w:id="93"/>
      <w:bookmarkEnd w:id="94"/>
      <w:bookmarkStart w:id="97" w:name="_Toc334774180"/>
      <w:bookmarkStart w:id="98" w:name="_Toc200513143"/>
      <w:bookmarkStart w:id="99" w:name="_Toc317863439"/>
      <w:bookmarkStart w:id="100" w:name="_Toc325636597"/>
      <w:r>
        <w:rPr>
          <w:rFonts w:hint="eastAsia" w:ascii="方正黑体_GBK" w:hAnsi="方正黑体_GBK" w:eastAsia="方正黑体_GBK" w:cs="方正黑体_GBK"/>
          <w:b/>
          <w:snapToGrid w:val="0"/>
          <w:kern w:val="0"/>
          <w:sz w:val="24"/>
          <w:szCs w:val="24"/>
          <w:lang w:val="zh-CN"/>
        </w:rPr>
        <w:t>对招标文件的疑问</w:t>
      </w:r>
      <w:bookmarkEnd w:id="95"/>
      <w:bookmarkEnd w:id="96"/>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2.2.1  投标人应仔细阅读和检查下载的招标文件的全部内容。如发现缺页或附件不全，应及时向招标人提出，以便补齐。如有疑问，应在</w:t>
      </w:r>
      <w:r>
        <w:rPr>
          <w:rFonts w:hint="eastAsia" w:ascii="仿宋" w:hAnsi="仿宋" w:eastAsia="仿宋" w:cs="仿宋"/>
          <w:b/>
          <w:snapToGrid w:val="0"/>
          <w:kern w:val="0"/>
          <w:sz w:val="28"/>
          <w:szCs w:val="28"/>
          <w:u w:val="single"/>
        </w:rPr>
        <w:t>投标人须知前附表</w:t>
      </w:r>
      <w:r>
        <w:rPr>
          <w:rFonts w:hint="eastAsia" w:ascii="仿宋" w:hAnsi="仿宋" w:eastAsia="仿宋" w:cs="仿宋"/>
          <w:snapToGrid w:val="0"/>
          <w:kern w:val="0"/>
          <w:sz w:val="28"/>
          <w:szCs w:val="28"/>
        </w:rPr>
        <w:t>规定的形式和时间前，</w:t>
      </w:r>
      <w:r>
        <w:rPr>
          <w:rFonts w:hint="eastAsia" w:ascii="仿宋" w:hAnsi="仿宋" w:eastAsia="仿宋" w:cs="仿宋"/>
          <w:sz w:val="28"/>
          <w:szCs w:val="28"/>
        </w:rPr>
        <w:t>通知并</w:t>
      </w:r>
      <w:r>
        <w:rPr>
          <w:rFonts w:hint="eastAsia" w:ascii="仿宋" w:hAnsi="仿宋" w:eastAsia="仿宋" w:cs="仿宋"/>
          <w:snapToGrid w:val="0"/>
          <w:kern w:val="0"/>
          <w:sz w:val="28"/>
          <w:szCs w:val="28"/>
        </w:rPr>
        <w:t>要求招标人对招标文件予以澄清。</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01" w:name="_Toc29041"/>
      <w:bookmarkStart w:id="102" w:name="_Toc531594750"/>
      <w:r>
        <w:rPr>
          <w:rFonts w:hint="eastAsia" w:ascii="方正黑体_GBK" w:hAnsi="方正黑体_GBK" w:eastAsia="方正黑体_GBK" w:cs="方正黑体_GBK"/>
          <w:b/>
          <w:snapToGrid w:val="0"/>
          <w:kern w:val="0"/>
          <w:sz w:val="24"/>
          <w:szCs w:val="24"/>
          <w:lang w:val="zh-CN"/>
        </w:rPr>
        <w:t xml:space="preserve">2.3 </w:t>
      </w:r>
      <w:bookmarkEnd w:id="97"/>
      <w:bookmarkEnd w:id="98"/>
      <w:bookmarkEnd w:id="99"/>
      <w:bookmarkEnd w:id="100"/>
      <w:bookmarkStart w:id="103" w:name="_Toc317863440"/>
      <w:bookmarkStart w:id="104" w:name="_Toc200513144"/>
      <w:bookmarkStart w:id="105" w:name="_Toc334774181"/>
      <w:r>
        <w:rPr>
          <w:rFonts w:hint="eastAsia" w:ascii="方正黑体_GBK" w:hAnsi="方正黑体_GBK" w:eastAsia="方正黑体_GBK" w:cs="方正黑体_GBK"/>
          <w:b/>
          <w:snapToGrid w:val="0"/>
          <w:kern w:val="0"/>
          <w:sz w:val="24"/>
          <w:szCs w:val="24"/>
          <w:lang w:val="zh-CN"/>
        </w:rPr>
        <w:t>招标文件的澄清、修改和答疑</w:t>
      </w:r>
      <w:bookmarkEnd w:id="101"/>
      <w:bookmarkEnd w:id="102"/>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2.3.1 投标人如果有疑问，招标人以须知前附表规定的形式对招标文件澄清、修改和答疑，在</w:t>
      </w:r>
      <w:r>
        <w:rPr>
          <w:rFonts w:hint="eastAsia" w:ascii="仿宋" w:hAnsi="仿宋" w:eastAsia="仿宋" w:cs="仿宋"/>
          <w:sz w:val="28"/>
          <w:szCs w:val="28"/>
        </w:rPr>
        <w:t>重财经学院校园网（http://www.cfec.edu.cn）</w:t>
      </w:r>
      <w:r>
        <w:rPr>
          <w:rFonts w:hint="eastAsia" w:ascii="仿宋" w:hAnsi="仿宋" w:eastAsia="仿宋" w:cs="仿宋"/>
          <w:snapToGrid w:val="0"/>
          <w:sz w:val="28"/>
          <w:szCs w:val="28"/>
        </w:rPr>
        <w:t>发出</w:t>
      </w:r>
      <w:r>
        <w:rPr>
          <w:rFonts w:hint="eastAsia" w:ascii="仿宋" w:hAnsi="仿宋" w:eastAsia="仿宋" w:cs="仿宋"/>
          <w:snapToGrid w:val="0"/>
          <w:kern w:val="0"/>
          <w:sz w:val="28"/>
          <w:szCs w:val="28"/>
        </w:rPr>
        <w:t>通知或答疑通知；投标人应时刻在网上相应地方查寻通知、修改、答疑等信息，如果投标人疏忽大意，其后果自负。如果澄清、修改和答疑的时间距投标截止时间不足1天，经有关部门同意后通知相应延长投标截止时间。</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2.3.2 投标人网上收到答疑、修改通知后，应按照内容执行，不必确认已收到该修改。</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eastAsia="zh-CN"/>
        </w:rPr>
      </w:pPr>
      <w:bookmarkStart w:id="106" w:name="_Toc531594751"/>
      <w:bookmarkStart w:id="107" w:name="_Toc18374"/>
      <w:r>
        <w:rPr>
          <w:rFonts w:hint="eastAsia" w:ascii="方正黑体_GBK" w:hAnsi="方正黑体_GBK" w:eastAsia="方正黑体_GBK" w:cs="方正黑体_GBK"/>
          <w:b/>
          <w:snapToGrid w:val="0"/>
          <w:w w:val="99"/>
          <w:kern w:val="0"/>
          <w:sz w:val="28"/>
          <w:szCs w:val="28"/>
          <w:lang w:val="zh-CN" w:eastAsia="zh-CN"/>
        </w:rPr>
        <w:t>3.投标文件</w:t>
      </w:r>
      <w:bookmarkEnd w:id="103"/>
      <w:bookmarkEnd w:id="104"/>
      <w:bookmarkEnd w:id="105"/>
      <w:bookmarkEnd w:id="106"/>
      <w:bookmarkEnd w:id="107"/>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08" w:name="_Toc200513145"/>
      <w:bookmarkStart w:id="109" w:name="_Toc19286"/>
      <w:bookmarkStart w:id="110" w:name="_Toc325636599"/>
      <w:bookmarkStart w:id="111" w:name="_Toc317863441"/>
      <w:bookmarkStart w:id="112" w:name="_Toc334774182"/>
      <w:bookmarkStart w:id="113" w:name="_Toc531594752"/>
      <w:r>
        <w:rPr>
          <w:rFonts w:hint="eastAsia" w:ascii="方正黑体_GBK" w:hAnsi="方正黑体_GBK" w:eastAsia="方正黑体_GBK" w:cs="方正黑体_GBK"/>
          <w:b/>
          <w:snapToGrid w:val="0"/>
          <w:kern w:val="0"/>
          <w:sz w:val="24"/>
          <w:szCs w:val="24"/>
          <w:lang w:val="zh-CN"/>
        </w:rPr>
        <w:t>3.1 投标文件的组成</w:t>
      </w:r>
      <w:bookmarkEnd w:id="108"/>
      <w:bookmarkEnd w:id="109"/>
      <w:bookmarkEnd w:id="110"/>
      <w:bookmarkEnd w:id="111"/>
      <w:bookmarkEnd w:id="112"/>
      <w:bookmarkEnd w:id="113"/>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bookmarkStart w:id="114" w:name="_Toc30567"/>
      <w:bookmarkStart w:id="115" w:name="_Toc200513146"/>
      <w:bookmarkStart w:id="116" w:name="_Toc334774183"/>
      <w:bookmarkStart w:id="117" w:name="_Toc325636600"/>
      <w:bookmarkStart w:id="118" w:name="_Toc317863442"/>
      <w:bookmarkStart w:id="119" w:name="_Toc531594753"/>
      <w:r>
        <w:rPr>
          <w:rFonts w:hint="eastAsia" w:ascii="仿宋" w:hAnsi="仿宋" w:eastAsia="仿宋" w:cs="仿宋"/>
          <w:snapToGrid w:val="0"/>
          <w:kern w:val="0"/>
          <w:sz w:val="28"/>
          <w:szCs w:val="28"/>
        </w:rPr>
        <w:t>3.1.1 投标函</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3.1.2 法定代表人身份证明及授权委托书</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3.1.3 投标人基本情况表</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3.1.4 折扣报价</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3.1.5 相关资质证明及承诺</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3.1.6 售后服务</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3.1.7 投标业绩一览表</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3.1.8 </w:t>
      </w:r>
      <w:r>
        <w:rPr>
          <w:rFonts w:hint="eastAsia" w:ascii="仿宋" w:hAnsi="仿宋" w:eastAsia="仿宋" w:cs="仿宋"/>
          <w:sz w:val="28"/>
          <w:szCs w:val="28"/>
        </w:rPr>
        <w:t>近</w:t>
      </w:r>
      <w:r>
        <w:rPr>
          <w:rFonts w:hint="eastAsia" w:ascii="仿宋" w:hAnsi="仿宋" w:eastAsia="仿宋" w:cs="仿宋"/>
          <w:sz w:val="28"/>
          <w:szCs w:val="28"/>
          <w:lang w:val="en-US" w:eastAsia="zh-CN"/>
        </w:rPr>
        <w:t>一</w:t>
      </w:r>
      <w:r>
        <w:rPr>
          <w:rFonts w:hint="eastAsia" w:ascii="仿宋" w:hAnsi="仿宋" w:eastAsia="仿宋" w:cs="仿宋"/>
          <w:sz w:val="28"/>
          <w:szCs w:val="28"/>
        </w:rPr>
        <w:t>年财务报表</w:t>
      </w:r>
    </w:p>
    <w:p>
      <w:pPr>
        <w:keepNext w:val="0"/>
        <w:keepLines w:val="0"/>
        <w:pageBreakBefore w:val="0"/>
        <w:kinsoku/>
        <w:wordWrap/>
        <w:overflowPunct/>
        <w:topLinePunct w:val="0"/>
        <w:bidi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3.1.9 承诺函</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3.1.10 其他</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r>
        <w:rPr>
          <w:rFonts w:hint="eastAsia" w:ascii="方正黑体_GBK" w:hAnsi="方正黑体_GBK" w:eastAsia="方正黑体_GBK" w:cs="方正黑体_GBK"/>
          <w:b/>
          <w:snapToGrid w:val="0"/>
          <w:kern w:val="0"/>
          <w:sz w:val="24"/>
          <w:szCs w:val="24"/>
          <w:lang w:val="zh-CN"/>
        </w:rPr>
        <w:t>3.2 投标报价</w:t>
      </w:r>
      <w:bookmarkEnd w:id="114"/>
      <w:bookmarkEnd w:id="115"/>
      <w:bookmarkEnd w:id="116"/>
      <w:bookmarkEnd w:id="117"/>
      <w:bookmarkEnd w:id="118"/>
      <w:bookmarkEnd w:id="119"/>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3.2.1 投标人应按投标人须知前附表及其相关规定填报。</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20" w:name="_Toc531594754"/>
      <w:bookmarkStart w:id="121" w:name="_Toc334774184"/>
      <w:bookmarkStart w:id="122" w:name="_Toc200513147"/>
      <w:bookmarkStart w:id="123" w:name="_Toc12196"/>
      <w:bookmarkStart w:id="124" w:name="_Toc325636601"/>
      <w:bookmarkStart w:id="125" w:name="_Toc317863443"/>
      <w:r>
        <w:rPr>
          <w:rFonts w:hint="eastAsia" w:ascii="方正黑体_GBK" w:hAnsi="方正黑体_GBK" w:eastAsia="方正黑体_GBK" w:cs="方正黑体_GBK"/>
          <w:b/>
          <w:snapToGrid w:val="0"/>
          <w:kern w:val="0"/>
          <w:sz w:val="24"/>
          <w:szCs w:val="24"/>
          <w:lang w:val="zh-CN"/>
        </w:rPr>
        <w:t>3.3 投标有效期</w:t>
      </w:r>
      <w:bookmarkEnd w:id="120"/>
      <w:bookmarkEnd w:id="121"/>
      <w:bookmarkEnd w:id="122"/>
      <w:bookmarkEnd w:id="123"/>
      <w:bookmarkEnd w:id="124"/>
      <w:bookmarkEnd w:id="125"/>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3.3.1 在投标人须知前附表规定的投标有效期内，投标人不得要求撤销或修改其投标文件。</w:t>
      </w:r>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26" w:name="_Toc325636602"/>
      <w:bookmarkStart w:id="127" w:name="_Toc28560"/>
      <w:bookmarkStart w:id="128" w:name="_Toc334774185"/>
      <w:bookmarkStart w:id="129" w:name="_Toc317863444"/>
      <w:bookmarkStart w:id="130" w:name="_Toc200513148"/>
      <w:bookmarkStart w:id="131" w:name="_Toc531594755"/>
      <w:r>
        <w:rPr>
          <w:rFonts w:hint="eastAsia" w:ascii="方正黑体_GBK" w:hAnsi="方正黑体_GBK" w:eastAsia="方正黑体_GBK" w:cs="方正黑体_GBK"/>
          <w:b/>
          <w:snapToGrid w:val="0"/>
          <w:kern w:val="0"/>
          <w:sz w:val="24"/>
          <w:szCs w:val="24"/>
          <w:lang w:val="zh-CN"/>
        </w:rPr>
        <w:t>3.4 投标保证金</w:t>
      </w:r>
      <w:bookmarkEnd w:id="126"/>
      <w:bookmarkEnd w:id="127"/>
      <w:bookmarkEnd w:id="128"/>
      <w:bookmarkEnd w:id="129"/>
      <w:bookmarkEnd w:id="130"/>
      <w:bookmarkEnd w:id="131"/>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3.4.1 投标人在递交投标文件的同时，应按“投标人须知前附表”规定的金额、形式缴纳投标保证金，并作为其投标文件的组成部分。</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b/>
          <w:bCs/>
          <w:snapToGrid w:val="0"/>
          <w:kern w:val="0"/>
          <w:sz w:val="28"/>
          <w:szCs w:val="28"/>
        </w:rPr>
      </w:pPr>
      <w:r>
        <w:rPr>
          <w:rFonts w:hint="eastAsia" w:ascii="仿宋" w:hAnsi="仿宋" w:eastAsia="仿宋" w:cs="仿宋"/>
          <w:snapToGrid w:val="0"/>
          <w:kern w:val="0"/>
          <w:sz w:val="28"/>
          <w:szCs w:val="28"/>
        </w:rPr>
        <w:t xml:space="preserve">3.4.2 </w:t>
      </w:r>
      <w:r>
        <w:rPr>
          <w:rFonts w:hint="eastAsia" w:ascii="仿宋" w:hAnsi="仿宋" w:eastAsia="仿宋" w:cs="仿宋"/>
          <w:b/>
          <w:bCs/>
          <w:snapToGrid w:val="0"/>
          <w:kern w:val="0"/>
          <w:sz w:val="28"/>
          <w:szCs w:val="28"/>
        </w:rPr>
        <w:t>投标人不按本章第 3.4.1 项要求提交投标保证金的，其投标文件作废标处理。</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z w:val="28"/>
          <w:szCs w:val="28"/>
        </w:rPr>
      </w:pPr>
      <w:r>
        <w:rPr>
          <w:rFonts w:hint="eastAsia" w:ascii="仿宋" w:hAnsi="仿宋" w:eastAsia="仿宋" w:cs="仿宋"/>
          <w:snapToGrid w:val="0"/>
          <w:kern w:val="0"/>
          <w:sz w:val="28"/>
          <w:szCs w:val="28"/>
        </w:rPr>
        <w:t xml:space="preserve">3.4.3 </w:t>
      </w:r>
      <w:r>
        <w:rPr>
          <w:rFonts w:hint="eastAsia" w:ascii="仿宋" w:hAnsi="仿宋" w:eastAsia="仿宋" w:cs="仿宋"/>
          <w:sz w:val="28"/>
          <w:szCs w:val="28"/>
        </w:rPr>
        <w:t>招标人发出中标通知书后15个工作日内，学院退还未列入中标候选人的投标保证金（不计息），招标人与中标人签订合同后10个工作日内，学院向其他中标候选人退还投标保证金（不计息）。</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3.4.4 有下列情形之一的，投标保证金将不予退还：</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3.4.4.1 </w:t>
      </w:r>
      <w:r>
        <w:rPr>
          <w:rFonts w:hint="eastAsia" w:ascii="仿宋" w:hAnsi="仿宋" w:eastAsia="仿宋" w:cs="仿宋"/>
          <w:snapToGrid w:val="0"/>
          <w:kern w:val="0"/>
          <w:sz w:val="28"/>
          <w:szCs w:val="28"/>
        </w:rPr>
        <w:t>投标人在规定的投标有效期内撤销或修改其投标文件；</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z w:val="28"/>
          <w:szCs w:val="28"/>
        </w:rPr>
      </w:pPr>
      <w:bookmarkStart w:id="132" w:name="_Toc317863445"/>
      <w:bookmarkStart w:id="133" w:name="_Toc325636603"/>
      <w:bookmarkStart w:id="134" w:name="_Toc334774186"/>
      <w:bookmarkStart w:id="135" w:name="_Toc200513150"/>
      <w:bookmarkStart w:id="136" w:name="_Toc23569"/>
      <w:r>
        <w:rPr>
          <w:rFonts w:hint="eastAsia" w:ascii="仿宋" w:hAnsi="仿宋" w:eastAsia="仿宋" w:cs="仿宋"/>
          <w:snapToGrid w:val="0"/>
          <w:kern w:val="0"/>
          <w:sz w:val="28"/>
          <w:szCs w:val="28"/>
          <w:lang w:val="en-US" w:eastAsia="zh-CN"/>
        </w:rPr>
        <w:t xml:space="preserve">3.4.4.2 </w:t>
      </w:r>
      <w:r>
        <w:rPr>
          <w:rFonts w:hint="eastAsia" w:ascii="仿宋" w:hAnsi="仿宋" w:eastAsia="仿宋" w:cs="仿宋"/>
          <w:sz w:val="28"/>
          <w:szCs w:val="28"/>
        </w:rPr>
        <w:t>中标人在中标通知书发出3日之内拒绝签订合同，其保证金将不予退还。</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r>
        <w:rPr>
          <w:rFonts w:hint="eastAsia" w:ascii="方正黑体_GBK" w:hAnsi="方正黑体_GBK" w:eastAsia="方正黑体_GBK" w:cs="方正黑体_GBK"/>
          <w:b/>
          <w:snapToGrid w:val="0"/>
          <w:kern w:val="0"/>
          <w:sz w:val="24"/>
          <w:szCs w:val="24"/>
          <w:lang w:val="zh-CN"/>
        </w:rPr>
        <w:t>3.5 资格审查资料</w:t>
      </w:r>
      <w:bookmarkEnd w:id="132"/>
      <w:bookmarkEnd w:id="133"/>
      <w:bookmarkEnd w:id="134"/>
      <w:bookmarkEnd w:id="135"/>
      <w:bookmarkEnd w:id="136"/>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 xml:space="preserve">3.5.1 </w:t>
      </w:r>
      <w:r>
        <w:rPr>
          <w:rFonts w:hint="eastAsia" w:ascii="仿宋" w:hAnsi="仿宋" w:eastAsia="仿宋" w:cs="仿宋"/>
          <w:sz w:val="28"/>
          <w:szCs w:val="28"/>
        </w:rPr>
        <w:t>本须知前附表1.4.1条要求的相关资料复印件（需要加盖公章）和投标文件格式要求的内容</w:t>
      </w:r>
      <w:r>
        <w:rPr>
          <w:rFonts w:hint="eastAsia" w:ascii="仿宋" w:hAnsi="仿宋" w:eastAsia="仿宋" w:cs="仿宋"/>
          <w:snapToGrid w:val="0"/>
          <w:kern w:val="0"/>
          <w:sz w:val="28"/>
          <w:szCs w:val="28"/>
        </w:rPr>
        <w:t>；</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37" w:name="_Toc325636604"/>
      <w:bookmarkStart w:id="138" w:name="_Toc317863446"/>
      <w:bookmarkStart w:id="139" w:name="_Toc200513151"/>
      <w:bookmarkStart w:id="140" w:name="_Toc531594756"/>
      <w:bookmarkStart w:id="141" w:name="_Toc7983"/>
      <w:bookmarkStart w:id="142" w:name="_Toc334774187"/>
      <w:r>
        <w:rPr>
          <w:rFonts w:hint="eastAsia" w:ascii="方正黑体_GBK" w:hAnsi="方正黑体_GBK" w:eastAsia="方正黑体_GBK" w:cs="方正黑体_GBK"/>
          <w:b/>
          <w:snapToGrid w:val="0"/>
          <w:kern w:val="0"/>
          <w:sz w:val="24"/>
          <w:szCs w:val="24"/>
          <w:lang w:val="zh-CN"/>
        </w:rPr>
        <w:t>3.6 备选投标人案</w:t>
      </w:r>
      <w:bookmarkEnd w:id="137"/>
      <w:bookmarkEnd w:id="138"/>
      <w:bookmarkEnd w:id="139"/>
      <w:bookmarkEnd w:id="140"/>
      <w:bookmarkEnd w:id="141"/>
      <w:bookmarkEnd w:id="142"/>
    </w:p>
    <w:p>
      <w:pPr>
        <w:keepNext w:val="0"/>
        <w:keepLines w:val="0"/>
        <w:pageBreakBefore w:val="0"/>
        <w:kinsoku/>
        <w:wordWrap/>
        <w:overflowPunct/>
        <w:topLinePunct w:val="0"/>
        <w:autoSpaceDE w:val="0"/>
        <w:autoSpaceDN w:val="0"/>
        <w:bidi w:val="0"/>
        <w:adjustRightInd w:val="0"/>
        <w:snapToGrid w:val="0"/>
        <w:spacing w:line="520" w:lineRule="exact"/>
        <w:ind w:left="42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投标人不得递交备选投标人案。</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43" w:name="_Toc200513152"/>
      <w:bookmarkStart w:id="144" w:name="_Toc334774188"/>
      <w:bookmarkStart w:id="145" w:name="_Toc317863447"/>
      <w:bookmarkStart w:id="146" w:name="_Toc531594757"/>
      <w:bookmarkStart w:id="147" w:name="_Toc325636605"/>
      <w:bookmarkStart w:id="148" w:name="_Toc21408"/>
      <w:r>
        <w:rPr>
          <w:rFonts w:hint="eastAsia" w:ascii="方正黑体_GBK" w:hAnsi="方正黑体_GBK" w:eastAsia="方正黑体_GBK" w:cs="方正黑体_GBK"/>
          <w:b/>
          <w:snapToGrid w:val="0"/>
          <w:kern w:val="0"/>
          <w:sz w:val="24"/>
          <w:szCs w:val="24"/>
          <w:lang w:val="zh-CN"/>
        </w:rPr>
        <w:t>3.7 投标文件的编制</w:t>
      </w:r>
      <w:bookmarkEnd w:id="143"/>
      <w:bookmarkEnd w:id="144"/>
      <w:bookmarkEnd w:id="145"/>
      <w:bookmarkEnd w:id="146"/>
      <w:bookmarkEnd w:id="147"/>
      <w:bookmarkEnd w:id="148"/>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3.7.2 投标文件应当对招标文件有关工期、投标有效期、质量要求、技术标准和要求、招标范围等实质性内容做出响应。</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position w:val="-2"/>
          <w:sz w:val="28"/>
          <w:szCs w:val="28"/>
        </w:rPr>
        <w:t>3.7.3 投标文件应用不褪色的材料书写或打印，并由投标人的法定代表人或其委托代理</w:t>
      </w:r>
      <w:r>
        <w:rPr>
          <w:rFonts w:hint="eastAsia" w:ascii="仿宋" w:hAnsi="仿宋" w:eastAsia="仿宋" w:cs="仿宋"/>
          <w:snapToGrid w:val="0"/>
          <w:kern w:val="0"/>
          <w:sz w:val="28"/>
          <w:szCs w:val="28"/>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pPr>
        <w:keepNext w:val="0"/>
        <w:keepLines w:val="0"/>
        <w:pageBreakBefore w:val="0"/>
        <w:kinsoku/>
        <w:wordWrap/>
        <w:overflowPunct/>
        <w:topLinePunct w:val="0"/>
        <w:autoSpaceDE w:val="0"/>
        <w:autoSpaceDN w:val="0"/>
        <w:bidi w:val="0"/>
        <w:adjustRightInd w:val="0"/>
        <w:snapToGrid w:val="0"/>
        <w:spacing w:before="1" w:line="520" w:lineRule="exact"/>
        <w:ind w:right="-164"/>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3.7.4 投标文件份数见投标须知前附表。</w:t>
      </w:r>
    </w:p>
    <w:p>
      <w:pPr>
        <w:keepNext w:val="0"/>
        <w:keepLines w:val="0"/>
        <w:pageBreakBefore w:val="0"/>
        <w:kinsoku/>
        <w:wordWrap/>
        <w:overflowPunct/>
        <w:topLinePunct w:val="0"/>
        <w:autoSpaceDE w:val="0"/>
        <w:autoSpaceDN w:val="0"/>
        <w:bidi w:val="0"/>
        <w:adjustRightInd w:val="0"/>
        <w:snapToGrid w:val="0"/>
        <w:spacing w:before="10" w:line="520" w:lineRule="exact"/>
        <w:ind w:right="-109"/>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3.7.5 投标文件的正本与副本应分别装订成册，并编制目录，具体装订要求见投标人须知前附表规定。</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149" w:name="_Toc13793"/>
      <w:bookmarkStart w:id="150" w:name="_Toc317863448"/>
      <w:bookmarkStart w:id="151" w:name="_Toc200513153"/>
      <w:bookmarkStart w:id="152" w:name="_Toc334774189"/>
      <w:bookmarkStart w:id="153" w:name="_Toc531594758"/>
      <w:r>
        <w:rPr>
          <w:rFonts w:hint="eastAsia" w:ascii="方正黑体_GBK" w:hAnsi="方正黑体_GBK" w:eastAsia="方正黑体_GBK" w:cs="方正黑体_GBK"/>
          <w:b/>
          <w:snapToGrid w:val="0"/>
          <w:w w:val="99"/>
          <w:kern w:val="0"/>
          <w:sz w:val="28"/>
          <w:szCs w:val="28"/>
          <w:lang w:val="zh-CN"/>
        </w:rPr>
        <w:t>4.投标</w:t>
      </w:r>
      <w:bookmarkEnd w:id="149"/>
      <w:bookmarkEnd w:id="150"/>
      <w:bookmarkEnd w:id="151"/>
      <w:bookmarkEnd w:id="152"/>
      <w:bookmarkEnd w:id="153"/>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54" w:name="_Toc317863449"/>
      <w:bookmarkStart w:id="155" w:name="_Toc325636607"/>
      <w:bookmarkStart w:id="156" w:name="_Toc531594759"/>
      <w:bookmarkStart w:id="157" w:name="_Toc26003"/>
      <w:bookmarkStart w:id="158" w:name="_Toc200513154"/>
      <w:bookmarkStart w:id="159" w:name="_Toc334774190"/>
      <w:r>
        <w:rPr>
          <w:rFonts w:hint="eastAsia" w:ascii="方正黑体_GBK" w:hAnsi="方正黑体_GBK" w:eastAsia="方正黑体_GBK" w:cs="方正黑体_GBK"/>
          <w:b/>
          <w:snapToGrid w:val="0"/>
          <w:kern w:val="0"/>
          <w:sz w:val="24"/>
          <w:szCs w:val="24"/>
          <w:lang w:val="zh-CN"/>
        </w:rPr>
        <w:t>4.1 投标文件的密封和标记</w:t>
      </w:r>
      <w:bookmarkEnd w:id="154"/>
      <w:bookmarkEnd w:id="155"/>
      <w:bookmarkEnd w:id="156"/>
      <w:bookmarkEnd w:id="157"/>
      <w:bookmarkEnd w:id="158"/>
      <w:bookmarkEnd w:id="159"/>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bookmarkStart w:id="160" w:name="_Toc200513155"/>
      <w:r>
        <w:rPr>
          <w:rFonts w:hint="eastAsia" w:ascii="仿宋" w:hAnsi="仿宋" w:eastAsia="仿宋" w:cs="仿宋"/>
          <w:snapToGrid w:val="0"/>
          <w:kern w:val="0"/>
          <w:sz w:val="28"/>
          <w:szCs w:val="28"/>
        </w:rPr>
        <w:t>4.1.1 投标文件的密封见投标人须知前附表。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4.1.2 投标文件的封套上应写明的内容见投标人须知前附表。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4.1.3 未按要求密封和写标记的投标文件，将被拒绝受理。</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61" w:name="_Toc334774191"/>
      <w:bookmarkStart w:id="162" w:name="_Toc325636608"/>
      <w:bookmarkStart w:id="163" w:name="_Toc531594760"/>
      <w:bookmarkStart w:id="164" w:name="_Toc5004"/>
      <w:bookmarkStart w:id="165" w:name="_Toc317863450"/>
      <w:r>
        <w:rPr>
          <w:rFonts w:hint="eastAsia" w:ascii="方正黑体_GBK" w:hAnsi="方正黑体_GBK" w:eastAsia="方正黑体_GBK" w:cs="方正黑体_GBK"/>
          <w:b/>
          <w:snapToGrid w:val="0"/>
          <w:kern w:val="0"/>
          <w:sz w:val="24"/>
          <w:szCs w:val="24"/>
          <w:lang w:val="zh-CN"/>
        </w:rPr>
        <w:t>4.2 投标文件的递交</w:t>
      </w:r>
      <w:bookmarkEnd w:id="160"/>
      <w:bookmarkEnd w:id="161"/>
      <w:bookmarkEnd w:id="162"/>
      <w:bookmarkEnd w:id="163"/>
      <w:bookmarkEnd w:id="164"/>
      <w:bookmarkEnd w:id="165"/>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4.2.1 投标人应在本章前附表规定的投标截止时间前递交投标文件。</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4.2.2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4.2.3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4.2.4 招标人收到投标文件后，向投标人出具签收凭证。</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4.2.5 逾期送达的或者未送达指定地点的投标文件，招标人不予受理。</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66" w:name="_Toc317863451"/>
      <w:bookmarkStart w:id="167" w:name="_Toc531594761"/>
      <w:bookmarkStart w:id="168" w:name="_Toc20769"/>
      <w:bookmarkStart w:id="169" w:name="_Toc325636609"/>
      <w:bookmarkStart w:id="170" w:name="_Toc334774192"/>
      <w:bookmarkStart w:id="171" w:name="_Toc200513156"/>
      <w:r>
        <w:rPr>
          <w:rFonts w:hint="eastAsia" w:ascii="方正黑体_GBK" w:hAnsi="方正黑体_GBK" w:eastAsia="方正黑体_GBK" w:cs="方正黑体_GBK"/>
          <w:b/>
          <w:snapToGrid w:val="0"/>
          <w:kern w:val="0"/>
          <w:sz w:val="24"/>
          <w:szCs w:val="24"/>
          <w:lang w:val="zh-CN"/>
        </w:rPr>
        <w:t>4.3 投标文件的修改与撤回</w:t>
      </w:r>
      <w:bookmarkEnd w:id="166"/>
      <w:bookmarkEnd w:id="167"/>
      <w:bookmarkEnd w:id="168"/>
      <w:bookmarkEnd w:id="169"/>
      <w:bookmarkEnd w:id="170"/>
      <w:bookmarkEnd w:id="171"/>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4.3.1 在本章第4.2.1项规定的投标截止时间前，投标人可以修改或撤回已递交的投标文件，但应以书面形式通知招标人。</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4.3.2 投标人修改或撤回已递交投标文件的书面通知应按照本章第3.7.3项的要求签字或盖章。招标人收到书面通知后，向投标人出具签收凭证。</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4.3.3 修改的内容为投标文件的组成部分。修改的投标文件应按照本章第3条、第4条规定进行编制、密封、标记和递交，并标明“修改”字样。</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172" w:name="_Toc1489"/>
      <w:bookmarkStart w:id="173" w:name="_Toc334774193"/>
      <w:bookmarkStart w:id="174" w:name="_Toc317863452"/>
      <w:bookmarkStart w:id="175" w:name="_Toc200513157"/>
      <w:bookmarkStart w:id="176" w:name="_Toc531594762"/>
      <w:r>
        <w:rPr>
          <w:rFonts w:hint="eastAsia" w:ascii="方正黑体_GBK" w:hAnsi="方正黑体_GBK" w:eastAsia="方正黑体_GBK" w:cs="方正黑体_GBK"/>
          <w:b/>
          <w:snapToGrid w:val="0"/>
          <w:w w:val="99"/>
          <w:kern w:val="0"/>
          <w:sz w:val="28"/>
          <w:szCs w:val="28"/>
          <w:lang w:val="zh-CN"/>
        </w:rPr>
        <w:t>5.开标</w:t>
      </w:r>
      <w:bookmarkEnd w:id="172"/>
      <w:bookmarkEnd w:id="173"/>
      <w:bookmarkEnd w:id="174"/>
      <w:bookmarkEnd w:id="175"/>
      <w:r>
        <w:rPr>
          <w:rFonts w:hint="eastAsia" w:ascii="方正黑体_GBK" w:hAnsi="方正黑体_GBK" w:eastAsia="方正黑体_GBK" w:cs="方正黑体_GBK"/>
          <w:b/>
          <w:snapToGrid w:val="0"/>
          <w:w w:val="99"/>
          <w:kern w:val="0"/>
          <w:sz w:val="28"/>
          <w:szCs w:val="28"/>
          <w:lang w:val="zh-CN"/>
        </w:rPr>
        <w:t>时间及地点</w:t>
      </w:r>
      <w:bookmarkEnd w:id="176"/>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 xml:space="preserve">    </w:t>
      </w:r>
      <w:bookmarkStart w:id="177" w:name="_Toc531594763"/>
      <w:bookmarkStart w:id="178" w:name="_Toc7504"/>
      <w:bookmarkStart w:id="179" w:name="_Toc317863455"/>
      <w:bookmarkStart w:id="180" w:name="_Toc200513160"/>
      <w:bookmarkStart w:id="181" w:name="_Toc334774196"/>
      <w:r>
        <w:rPr>
          <w:rFonts w:hint="eastAsia" w:ascii="仿宋" w:hAnsi="仿宋" w:eastAsia="仿宋" w:cs="仿宋"/>
          <w:snapToGrid w:val="0"/>
          <w:kern w:val="0"/>
          <w:sz w:val="28"/>
          <w:szCs w:val="28"/>
        </w:rPr>
        <w:t>开标时间及地点见投标人需知前附表</w:t>
      </w:r>
      <w:bookmarkEnd w:id="177"/>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182" w:name="_Toc531594764"/>
      <w:r>
        <w:rPr>
          <w:rFonts w:hint="eastAsia" w:ascii="方正黑体_GBK" w:hAnsi="方正黑体_GBK" w:eastAsia="方正黑体_GBK" w:cs="方正黑体_GBK"/>
          <w:b/>
          <w:snapToGrid w:val="0"/>
          <w:w w:val="99"/>
          <w:kern w:val="0"/>
          <w:sz w:val="28"/>
          <w:szCs w:val="28"/>
          <w:lang w:val="zh-CN"/>
        </w:rPr>
        <w:t>6.评标</w:t>
      </w:r>
      <w:bookmarkEnd w:id="178"/>
      <w:bookmarkEnd w:id="179"/>
      <w:bookmarkEnd w:id="180"/>
      <w:bookmarkEnd w:id="181"/>
      <w:bookmarkEnd w:id="182"/>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83" w:name="_Toc325636614"/>
      <w:bookmarkStart w:id="184" w:name="_Toc16186"/>
      <w:bookmarkStart w:id="185" w:name="_Toc317863456"/>
      <w:bookmarkStart w:id="186" w:name="_Toc200513161"/>
      <w:bookmarkStart w:id="187" w:name="_Toc334774197"/>
      <w:bookmarkStart w:id="188" w:name="_Toc531594765"/>
      <w:r>
        <w:rPr>
          <w:rFonts w:hint="eastAsia" w:ascii="方正黑体_GBK" w:hAnsi="方正黑体_GBK" w:eastAsia="方正黑体_GBK" w:cs="方正黑体_GBK"/>
          <w:b/>
          <w:snapToGrid w:val="0"/>
          <w:kern w:val="0"/>
          <w:sz w:val="24"/>
          <w:szCs w:val="24"/>
          <w:lang w:val="zh-CN"/>
        </w:rPr>
        <w:t>6.1 评标委员会</w:t>
      </w:r>
      <w:bookmarkEnd w:id="183"/>
      <w:bookmarkEnd w:id="184"/>
      <w:bookmarkEnd w:id="185"/>
      <w:bookmarkEnd w:id="186"/>
      <w:bookmarkEnd w:id="187"/>
      <w:bookmarkEnd w:id="188"/>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6.1.1 评标由招标人依法组建的评标委员会负责。评标委员会成员的确定方式见投标人须知前附表。</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6.1.2 评标委员会成员有下列情形之一的，应当回避：</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6.1.2.1 </w:t>
      </w:r>
      <w:r>
        <w:rPr>
          <w:rFonts w:hint="eastAsia" w:ascii="仿宋" w:hAnsi="仿宋" w:eastAsia="仿宋" w:cs="仿宋"/>
          <w:snapToGrid w:val="0"/>
          <w:kern w:val="0"/>
          <w:sz w:val="28"/>
          <w:szCs w:val="28"/>
        </w:rPr>
        <w:t>招标人或投标人的主要负责人的近亲属；</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6.1.2.2 </w:t>
      </w:r>
      <w:r>
        <w:rPr>
          <w:rFonts w:hint="eastAsia" w:ascii="仿宋" w:hAnsi="仿宋" w:eastAsia="仿宋" w:cs="仿宋"/>
          <w:snapToGrid w:val="0"/>
          <w:kern w:val="0"/>
          <w:sz w:val="28"/>
          <w:szCs w:val="28"/>
        </w:rPr>
        <w:t>项目主管部门或者行政监督部门的人员；</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6.1.2.3 </w:t>
      </w:r>
      <w:r>
        <w:rPr>
          <w:rFonts w:hint="eastAsia" w:ascii="仿宋" w:hAnsi="仿宋" w:eastAsia="仿宋" w:cs="仿宋"/>
          <w:snapToGrid w:val="0"/>
          <w:kern w:val="0"/>
          <w:sz w:val="28"/>
          <w:szCs w:val="28"/>
        </w:rPr>
        <w:t>与投标人有经济利益关系，可能影响对投标公正评审的；</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lang w:val="en-US" w:eastAsia="zh-CN"/>
        </w:rPr>
        <w:t xml:space="preserve">6.1.2.4 </w:t>
      </w:r>
      <w:r>
        <w:rPr>
          <w:rFonts w:hint="eastAsia" w:ascii="仿宋" w:hAnsi="仿宋" w:eastAsia="仿宋" w:cs="仿宋"/>
          <w:snapToGrid w:val="0"/>
          <w:kern w:val="0"/>
          <w:sz w:val="28"/>
          <w:szCs w:val="28"/>
        </w:rPr>
        <w:t>曾因在招标、评标以及其他与招标投标有关活动中从事违法行为而受过行政处罚或刑事处罚的。</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189" w:name="_Toc325636615"/>
      <w:bookmarkStart w:id="190" w:name="_Toc200513162"/>
      <w:bookmarkStart w:id="191" w:name="_Toc531594766"/>
      <w:bookmarkStart w:id="192" w:name="_Toc18631"/>
      <w:bookmarkStart w:id="193" w:name="_Toc334774198"/>
      <w:bookmarkStart w:id="194" w:name="_Toc317863457"/>
      <w:r>
        <w:rPr>
          <w:rFonts w:hint="eastAsia" w:ascii="方正黑体_GBK" w:hAnsi="方正黑体_GBK" w:eastAsia="方正黑体_GBK" w:cs="方正黑体_GBK"/>
          <w:b/>
          <w:snapToGrid w:val="0"/>
          <w:kern w:val="0"/>
          <w:sz w:val="24"/>
          <w:szCs w:val="24"/>
          <w:lang w:val="zh-CN"/>
        </w:rPr>
        <w:t>6.2 评标原则</w:t>
      </w:r>
      <w:bookmarkEnd w:id="189"/>
      <w:bookmarkEnd w:id="190"/>
      <w:bookmarkEnd w:id="191"/>
      <w:bookmarkEnd w:id="192"/>
      <w:bookmarkEnd w:id="193"/>
      <w:bookmarkEnd w:id="194"/>
    </w:p>
    <w:p>
      <w:pPr>
        <w:keepNext w:val="0"/>
        <w:keepLines w:val="0"/>
        <w:pageBreakBefore w:val="0"/>
        <w:tabs>
          <w:tab w:val="center" w:pos="4153"/>
          <w:tab w:val="right" w:pos="8306"/>
        </w:tabs>
        <w:kinsoku/>
        <w:wordWrap/>
        <w:overflowPunct/>
        <w:topLinePunct w:val="0"/>
        <w:bidi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根据有效投标文件的</w:t>
      </w:r>
      <w:bookmarkStart w:id="195" w:name="_Toc200513163"/>
      <w:bookmarkStart w:id="196" w:name="_Toc317863458"/>
      <w:bookmarkStart w:id="197" w:name="_Toc21682"/>
      <w:bookmarkStart w:id="198" w:name="_Toc325636616"/>
      <w:bookmarkStart w:id="199" w:name="_Toc334774199"/>
      <w:r>
        <w:rPr>
          <w:rFonts w:hint="eastAsia" w:ascii="仿宋" w:hAnsi="仿宋" w:eastAsia="仿宋" w:cs="仿宋"/>
          <w:snapToGrid w:val="0"/>
          <w:kern w:val="0"/>
          <w:sz w:val="28"/>
          <w:szCs w:val="28"/>
        </w:rPr>
        <w:t>折扣报价、增值服务、售后保障等因素综合评定确定中标单位。</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r>
        <w:rPr>
          <w:rFonts w:hint="eastAsia" w:ascii="方正黑体_GBK" w:hAnsi="方正黑体_GBK" w:eastAsia="方正黑体_GBK" w:cs="方正黑体_GBK"/>
          <w:b/>
          <w:snapToGrid w:val="0"/>
          <w:kern w:val="0"/>
          <w:sz w:val="24"/>
          <w:szCs w:val="24"/>
          <w:lang w:val="zh-CN"/>
        </w:rPr>
        <w:t>6.3 评标</w:t>
      </w:r>
      <w:bookmarkEnd w:id="195"/>
      <w:bookmarkEnd w:id="196"/>
      <w:bookmarkEnd w:id="197"/>
      <w:bookmarkEnd w:id="198"/>
      <w:bookmarkEnd w:id="199"/>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评标委员会按照第四章“评标原则”规定的方法、评审因素、标准和程序对投标文件进行评审。</w:t>
      </w:r>
      <w:bookmarkStart w:id="200" w:name="_Toc200513164"/>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201" w:name="_Toc317863459"/>
      <w:bookmarkStart w:id="202" w:name="_Toc334774200"/>
      <w:bookmarkStart w:id="203" w:name="_Toc531594767"/>
      <w:bookmarkStart w:id="204" w:name="_Toc5106"/>
      <w:r>
        <w:rPr>
          <w:rFonts w:hint="eastAsia" w:ascii="方正黑体_GBK" w:hAnsi="方正黑体_GBK" w:eastAsia="方正黑体_GBK" w:cs="方正黑体_GBK"/>
          <w:b/>
          <w:snapToGrid w:val="0"/>
          <w:w w:val="99"/>
          <w:kern w:val="0"/>
          <w:sz w:val="28"/>
          <w:szCs w:val="28"/>
          <w:lang w:val="zh-CN"/>
        </w:rPr>
        <w:t>7.合同授予</w:t>
      </w:r>
      <w:bookmarkEnd w:id="200"/>
      <w:bookmarkEnd w:id="201"/>
      <w:bookmarkEnd w:id="202"/>
      <w:bookmarkEnd w:id="203"/>
      <w:bookmarkEnd w:id="204"/>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05" w:name="_Toc531594768"/>
      <w:bookmarkStart w:id="206" w:name="_Toc334774201"/>
      <w:bookmarkStart w:id="207" w:name="_Toc22299"/>
      <w:bookmarkStart w:id="208" w:name="_Toc200513165"/>
      <w:bookmarkStart w:id="209" w:name="_Toc325636618"/>
      <w:bookmarkStart w:id="210" w:name="_Toc317863460"/>
      <w:r>
        <w:rPr>
          <w:rFonts w:hint="eastAsia" w:ascii="方正黑体_GBK" w:hAnsi="方正黑体_GBK" w:eastAsia="方正黑体_GBK" w:cs="方正黑体_GBK"/>
          <w:b/>
          <w:snapToGrid w:val="0"/>
          <w:kern w:val="0"/>
          <w:sz w:val="24"/>
          <w:szCs w:val="24"/>
          <w:lang w:val="zh-CN"/>
        </w:rPr>
        <w:t>7.1 定标方式</w:t>
      </w:r>
      <w:bookmarkEnd w:id="205"/>
      <w:bookmarkEnd w:id="206"/>
      <w:bookmarkEnd w:id="207"/>
      <w:bookmarkEnd w:id="208"/>
      <w:bookmarkEnd w:id="209"/>
      <w:bookmarkEnd w:id="210"/>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11" w:name="_Toc325636619"/>
      <w:bookmarkStart w:id="212" w:name="_Toc334774202"/>
      <w:bookmarkStart w:id="213" w:name="_Toc19729"/>
      <w:bookmarkStart w:id="214" w:name="_Toc317863461"/>
      <w:bookmarkStart w:id="215" w:name="_Toc200513166"/>
      <w:bookmarkStart w:id="216" w:name="_Toc531594769"/>
      <w:r>
        <w:rPr>
          <w:rFonts w:hint="eastAsia" w:ascii="方正黑体_GBK" w:hAnsi="方正黑体_GBK" w:eastAsia="方正黑体_GBK" w:cs="方正黑体_GBK"/>
          <w:b/>
          <w:snapToGrid w:val="0"/>
          <w:kern w:val="0"/>
          <w:sz w:val="24"/>
          <w:szCs w:val="24"/>
          <w:lang w:val="zh-CN"/>
        </w:rPr>
        <w:t>7.2 中标通知</w:t>
      </w:r>
      <w:bookmarkEnd w:id="211"/>
      <w:bookmarkEnd w:id="212"/>
      <w:bookmarkEnd w:id="213"/>
      <w:bookmarkEnd w:id="214"/>
      <w:bookmarkEnd w:id="215"/>
      <w:bookmarkEnd w:id="216"/>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sz w:val="28"/>
          <w:szCs w:val="28"/>
        </w:rPr>
      </w:pPr>
      <w:r>
        <w:rPr>
          <w:rFonts w:hint="eastAsia" w:ascii="仿宋" w:hAnsi="仿宋" w:eastAsia="仿宋" w:cs="仿宋"/>
          <w:snapToGrid w:val="0"/>
          <w:kern w:val="0"/>
          <w:sz w:val="28"/>
          <w:szCs w:val="28"/>
        </w:rPr>
        <w:t>在本章第 3.3 款规定的投标有效期内，招标人以网络公示的形式向中标人发出中标通知书。</w:t>
      </w:r>
      <w:bookmarkStart w:id="217" w:name="_Toc200513168"/>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18" w:name="_Toc9808"/>
      <w:bookmarkStart w:id="219" w:name="_Toc317863463"/>
      <w:bookmarkStart w:id="220" w:name="_Toc325636621"/>
      <w:bookmarkStart w:id="221" w:name="_Toc531594770"/>
      <w:bookmarkStart w:id="222" w:name="_Toc334774203"/>
      <w:r>
        <w:rPr>
          <w:rFonts w:hint="eastAsia" w:ascii="方正黑体_GBK" w:hAnsi="方正黑体_GBK" w:eastAsia="方正黑体_GBK" w:cs="方正黑体_GBK"/>
          <w:b/>
          <w:snapToGrid w:val="0"/>
          <w:kern w:val="0"/>
          <w:sz w:val="24"/>
          <w:szCs w:val="24"/>
          <w:lang w:val="zh-CN"/>
        </w:rPr>
        <w:t>7.3 签订合同</w:t>
      </w:r>
      <w:bookmarkEnd w:id="217"/>
      <w:bookmarkEnd w:id="218"/>
      <w:bookmarkEnd w:id="219"/>
      <w:bookmarkEnd w:id="220"/>
      <w:bookmarkEnd w:id="221"/>
      <w:bookmarkEnd w:id="222"/>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bookmarkStart w:id="223" w:name="_Toc200513169"/>
      <w:r>
        <w:rPr>
          <w:rFonts w:hint="eastAsia" w:ascii="仿宋" w:hAnsi="仿宋" w:eastAsia="仿宋" w:cs="仿宋"/>
          <w:snapToGrid w:val="0"/>
          <w:kern w:val="0"/>
          <w:sz w:val="28"/>
          <w:szCs w:val="28"/>
        </w:rPr>
        <w:t>7.3.1</w:t>
      </w:r>
      <w:r>
        <w:rPr>
          <w:rFonts w:hint="eastAsia" w:ascii="仿宋" w:hAnsi="仿宋" w:eastAsia="仿宋" w:cs="仿宋"/>
          <w:snapToGrid w:val="0"/>
          <w:kern w:val="0"/>
          <w:sz w:val="28"/>
          <w:szCs w:val="28"/>
          <w:lang w:val="en-US" w:eastAsia="zh-CN"/>
        </w:rPr>
        <w:t xml:space="preserve"> </w:t>
      </w:r>
      <w:r>
        <w:rPr>
          <w:rFonts w:hint="eastAsia" w:ascii="仿宋" w:hAnsi="仿宋" w:eastAsia="仿宋" w:cs="仿宋"/>
          <w:snapToGrid w:val="0"/>
          <w:kern w:val="0"/>
          <w:sz w:val="28"/>
          <w:szCs w:val="28"/>
        </w:rPr>
        <w:t>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7.3.2 发出中标通知书后，招标人无正当理由拒签合同的，招标人向中标人退还投标保证金；给中标人造成损失的，还应当赔偿损失。</w:t>
      </w:r>
    </w:p>
    <w:p>
      <w:pPr>
        <w:keepNext w:val="0"/>
        <w:keepLines w:val="0"/>
        <w:pageBreakBefore w:val="0"/>
        <w:kinsoku/>
        <w:wordWrap/>
        <w:overflowPunct/>
        <w:topLinePunct w:val="0"/>
        <w:autoSpaceDE w:val="0"/>
        <w:autoSpaceDN w:val="0"/>
        <w:bidi w:val="0"/>
        <w:adjustRightInd w:val="0"/>
        <w:snapToGrid w:val="0"/>
        <w:spacing w:line="520" w:lineRule="exac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7.3.3 投标人中标后又提出对招标文件中各项条款的不实质性响应，经双方协商，在7.3.1条规定的时间内不能达成一致意见的，招标人有权取消其中标资格，并没收其投标保证金。</w:t>
      </w:r>
    </w:p>
    <w:p>
      <w:pPr>
        <w:keepNext w:val="0"/>
        <w:keepLines w:val="0"/>
        <w:pageBreakBefore w:val="0"/>
        <w:kinsoku/>
        <w:wordWrap/>
        <w:overflowPunct/>
        <w:topLinePunct w:val="0"/>
        <w:autoSpaceDE w:val="0"/>
        <w:autoSpaceDN w:val="0"/>
        <w:bidi w:val="0"/>
        <w:adjustRightInd w:val="0"/>
        <w:snapToGrid w:val="0"/>
        <w:spacing w:line="520" w:lineRule="exact"/>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7.3.4 签订合同后，承包人放弃承包权或因自身原因（如资金不保证，设备、机具、劳动力等资源不保证,无法提交履约担保等等）不能履行合同，发包人有权终止合同，并没收其投标保证金及履约保证金。</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224" w:name="_Toc334774204"/>
      <w:bookmarkStart w:id="225" w:name="_Toc15584"/>
      <w:bookmarkStart w:id="226" w:name="_Toc317863464"/>
      <w:bookmarkStart w:id="227" w:name="_Toc531594771"/>
      <w:r>
        <w:rPr>
          <w:rFonts w:hint="eastAsia" w:ascii="方正黑体_GBK" w:hAnsi="方正黑体_GBK" w:eastAsia="方正黑体_GBK" w:cs="方正黑体_GBK"/>
          <w:b/>
          <w:snapToGrid w:val="0"/>
          <w:w w:val="99"/>
          <w:kern w:val="0"/>
          <w:sz w:val="28"/>
          <w:szCs w:val="28"/>
          <w:lang w:val="zh-CN"/>
        </w:rPr>
        <w:t>8.重新招标和不再招标</w:t>
      </w:r>
      <w:bookmarkEnd w:id="223"/>
      <w:bookmarkEnd w:id="224"/>
      <w:bookmarkEnd w:id="225"/>
      <w:bookmarkEnd w:id="226"/>
      <w:bookmarkEnd w:id="227"/>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28" w:name="_Toc334774205"/>
      <w:bookmarkStart w:id="229" w:name="_Toc325636623"/>
      <w:bookmarkStart w:id="230" w:name="_Toc531594772"/>
      <w:bookmarkStart w:id="231" w:name="_Toc200513170"/>
      <w:bookmarkStart w:id="232" w:name="_Toc22330"/>
      <w:bookmarkStart w:id="233" w:name="_Toc317863465"/>
      <w:r>
        <w:rPr>
          <w:rFonts w:hint="eastAsia" w:ascii="方正黑体_GBK" w:hAnsi="方正黑体_GBK" w:eastAsia="方正黑体_GBK" w:cs="方正黑体_GBK"/>
          <w:b/>
          <w:snapToGrid w:val="0"/>
          <w:kern w:val="0"/>
          <w:sz w:val="24"/>
          <w:szCs w:val="24"/>
          <w:lang w:val="zh-CN"/>
        </w:rPr>
        <w:t>8.1 重新招标</w:t>
      </w:r>
      <w:bookmarkEnd w:id="228"/>
      <w:bookmarkEnd w:id="229"/>
      <w:bookmarkEnd w:id="230"/>
      <w:bookmarkEnd w:id="231"/>
      <w:bookmarkEnd w:id="232"/>
      <w:bookmarkEnd w:id="233"/>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有下列情形之一的，招标人将重新招标</w:t>
      </w:r>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w:t>
      </w:r>
      <w:bookmarkStart w:id="234" w:name="_Toc325636624"/>
      <w:bookmarkStart w:id="235" w:name="_Toc200513171"/>
      <w:bookmarkStart w:id="236" w:name="_Toc334774206"/>
      <w:bookmarkStart w:id="237" w:name="_Toc317863466"/>
      <w:bookmarkStart w:id="238" w:name="_Toc24379"/>
      <w:r>
        <w:rPr>
          <w:rFonts w:hint="eastAsia" w:ascii="仿宋" w:hAnsi="仿宋" w:eastAsia="仿宋" w:cs="仿宋"/>
          <w:sz w:val="28"/>
          <w:szCs w:val="28"/>
        </w:rPr>
        <w:t>1）</w:t>
      </w:r>
      <w:r>
        <w:rPr>
          <w:rFonts w:hint="eastAsia" w:ascii="仿宋" w:hAnsi="仿宋" w:eastAsia="仿宋" w:cs="仿宋"/>
          <w:snapToGrid w:val="0"/>
          <w:kern w:val="0"/>
          <w:sz w:val="28"/>
          <w:szCs w:val="28"/>
        </w:rPr>
        <w:t>投标截止时间止，投标人少于</w:t>
      </w:r>
      <w:r>
        <w:rPr>
          <w:rFonts w:hint="eastAsia" w:ascii="仿宋" w:hAnsi="仿宋" w:eastAsia="仿宋" w:cs="仿宋"/>
          <w:sz w:val="28"/>
          <w:szCs w:val="28"/>
        </w:rPr>
        <w:t>三</w:t>
      </w:r>
      <w:r>
        <w:rPr>
          <w:rFonts w:hint="eastAsia" w:ascii="仿宋" w:hAnsi="仿宋" w:eastAsia="仿宋" w:cs="仿宋"/>
          <w:snapToGrid w:val="0"/>
          <w:kern w:val="0"/>
          <w:sz w:val="28"/>
          <w:szCs w:val="28"/>
        </w:rPr>
        <w:t>个的；</w:t>
      </w:r>
    </w:p>
    <w:p>
      <w:pPr>
        <w:keepNext w:val="0"/>
        <w:keepLines w:val="0"/>
        <w:pageBreakBefore w:val="0"/>
        <w:kinsoku/>
        <w:wordWrap/>
        <w:overflowPunct/>
        <w:topLinePunct w:val="0"/>
        <w:autoSpaceDE w:val="0"/>
        <w:autoSpaceDN w:val="0"/>
        <w:bidi w:val="0"/>
        <w:adjustRightInd w:val="0"/>
        <w:snapToGrid w:val="0"/>
        <w:spacing w:line="240" w:lineRule="auto"/>
        <w:ind w:firstLine="560" w:firstLineChars="200"/>
        <w:jc w:val="left"/>
        <w:rPr>
          <w:rFonts w:hint="eastAsia" w:ascii="仿宋" w:hAnsi="仿宋" w:eastAsia="仿宋" w:cs="仿宋"/>
          <w:snapToGrid w:val="0"/>
          <w:kern w:val="0"/>
          <w:sz w:val="28"/>
          <w:szCs w:val="28"/>
        </w:rPr>
      </w:pPr>
      <w:r>
        <w:rPr>
          <w:rFonts w:hint="eastAsia" w:ascii="仿宋" w:hAnsi="仿宋" w:eastAsia="仿宋" w:cs="仿宋"/>
          <w:sz w:val="28"/>
          <w:szCs w:val="28"/>
        </w:rPr>
        <w:t>（2）经评审后，如合格的投标人少于三个且评标委员会评定为仍具有竞争的，评标</w:t>
      </w:r>
      <w:r>
        <w:rPr>
          <w:rFonts w:hint="eastAsia" w:ascii="仿宋" w:hAnsi="仿宋" w:eastAsia="仿宋" w:cs="仿宋"/>
          <w:snapToGrid w:val="0"/>
          <w:kern w:val="0"/>
          <w:sz w:val="28"/>
          <w:szCs w:val="28"/>
        </w:rPr>
        <w:t>委员会可以继续进行评审，并按招标文件规定推荐中标候选人。如合格的投标人少于</w:t>
      </w:r>
      <w:r>
        <w:rPr>
          <w:rFonts w:hint="eastAsia" w:ascii="仿宋" w:hAnsi="仿宋" w:eastAsia="仿宋" w:cs="仿宋"/>
          <w:snapToGrid w:val="0"/>
          <w:kern w:val="0"/>
          <w:sz w:val="28"/>
          <w:szCs w:val="28"/>
          <w:highlight w:val="none"/>
          <w:lang w:val="en-US" w:eastAsia="zh-CN"/>
        </w:rPr>
        <w:t>三</w:t>
      </w:r>
      <w:r>
        <w:rPr>
          <w:rFonts w:hint="eastAsia" w:ascii="仿宋" w:hAnsi="仿宋" w:eastAsia="仿宋" w:cs="仿宋"/>
          <w:snapToGrid w:val="0"/>
          <w:kern w:val="0"/>
          <w:sz w:val="28"/>
          <w:szCs w:val="28"/>
        </w:rPr>
        <w:t>个的，且明显缺乏竞争的，评标委员会可以否决全部投标，招标人将按照我校招投标管理办法的相关规定执行。</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r>
        <w:rPr>
          <w:rFonts w:hint="eastAsia" w:ascii="方正黑体_GBK" w:hAnsi="方正黑体_GBK" w:eastAsia="方正黑体_GBK" w:cs="方正黑体_GBK"/>
          <w:b/>
          <w:snapToGrid w:val="0"/>
          <w:kern w:val="0"/>
          <w:sz w:val="24"/>
          <w:szCs w:val="24"/>
          <w:lang w:val="zh-CN"/>
        </w:rPr>
        <w:t>8.2 不再招标</w:t>
      </w:r>
      <w:bookmarkEnd w:id="234"/>
      <w:bookmarkEnd w:id="235"/>
      <w:bookmarkEnd w:id="236"/>
      <w:bookmarkEnd w:id="237"/>
      <w:bookmarkEnd w:id="238"/>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重新招标后投标人仍少于三个或者所有投标被否决的，属于必须审批或核准的工程建设项目，经原审批或核准部门批准后不再进行招标。</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239" w:name="_Toc200513172"/>
      <w:bookmarkStart w:id="240" w:name="_Toc334774207"/>
      <w:bookmarkStart w:id="241" w:name="_Toc531594773"/>
      <w:bookmarkStart w:id="242" w:name="_Toc11895"/>
      <w:bookmarkStart w:id="243" w:name="_Toc317863467"/>
      <w:r>
        <w:rPr>
          <w:rFonts w:hint="eastAsia" w:ascii="方正黑体_GBK" w:hAnsi="方正黑体_GBK" w:eastAsia="方正黑体_GBK" w:cs="方正黑体_GBK"/>
          <w:b/>
          <w:snapToGrid w:val="0"/>
          <w:w w:val="99"/>
          <w:kern w:val="0"/>
          <w:sz w:val="28"/>
          <w:szCs w:val="28"/>
          <w:lang w:val="zh-CN"/>
        </w:rPr>
        <w:t>9.纪律和监督</w:t>
      </w:r>
      <w:bookmarkEnd w:id="239"/>
      <w:bookmarkEnd w:id="240"/>
      <w:bookmarkEnd w:id="241"/>
      <w:bookmarkEnd w:id="242"/>
      <w:bookmarkEnd w:id="243"/>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44" w:name="_Toc531594774"/>
      <w:bookmarkStart w:id="245" w:name="_Toc334774208"/>
      <w:bookmarkStart w:id="246" w:name="_Toc317863468"/>
      <w:bookmarkStart w:id="247" w:name="_Toc1463"/>
      <w:bookmarkStart w:id="248" w:name="_Toc200513173"/>
      <w:bookmarkStart w:id="249" w:name="_Toc325636626"/>
      <w:r>
        <w:rPr>
          <w:rFonts w:hint="eastAsia" w:ascii="方正黑体_GBK" w:hAnsi="方正黑体_GBK" w:eastAsia="方正黑体_GBK" w:cs="方正黑体_GBK"/>
          <w:b/>
          <w:snapToGrid w:val="0"/>
          <w:kern w:val="0"/>
          <w:sz w:val="24"/>
          <w:szCs w:val="24"/>
          <w:lang w:val="zh-CN"/>
        </w:rPr>
        <w:t>9.1 对招标人的纪律要求</w:t>
      </w:r>
      <w:bookmarkEnd w:id="244"/>
      <w:bookmarkEnd w:id="245"/>
      <w:bookmarkEnd w:id="246"/>
      <w:bookmarkEnd w:id="247"/>
      <w:bookmarkEnd w:id="248"/>
      <w:bookmarkEnd w:id="249"/>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jc w:val="left"/>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招标人不得泄漏招标投标活动中应当保密的情况和资料，不得与投标人串通损害国家利益、社会公共利益或者他人合法权益。</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50" w:name="_Toc325636627"/>
      <w:bookmarkStart w:id="251" w:name="_Toc317863469"/>
      <w:bookmarkStart w:id="252" w:name="_Toc531594775"/>
      <w:bookmarkStart w:id="253" w:name="_Toc270"/>
      <w:bookmarkStart w:id="254" w:name="_Toc200513174"/>
      <w:bookmarkStart w:id="255" w:name="_Toc334774209"/>
      <w:r>
        <w:rPr>
          <w:rFonts w:hint="eastAsia" w:ascii="方正黑体_GBK" w:hAnsi="方正黑体_GBK" w:eastAsia="方正黑体_GBK" w:cs="方正黑体_GBK"/>
          <w:b/>
          <w:snapToGrid w:val="0"/>
          <w:kern w:val="0"/>
          <w:sz w:val="24"/>
          <w:szCs w:val="24"/>
          <w:lang w:val="zh-CN"/>
        </w:rPr>
        <w:t>9.2 对投标人的纪律要求</w:t>
      </w:r>
      <w:bookmarkEnd w:id="250"/>
      <w:bookmarkEnd w:id="251"/>
      <w:bookmarkEnd w:id="252"/>
      <w:bookmarkEnd w:id="253"/>
      <w:bookmarkEnd w:id="254"/>
      <w:bookmarkEnd w:id="255"/>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56" w:name="_Toc334774210"/>
      <w:bookmarkStart w:id="257" w:name="_Toc317863470"/>
      <w:bookmarkStart w:id="258" w:name="_Toc325636628"/>
      <w:bookmarkStart w:id="259" w:name="_Toc531594776"/>
      <w:bookmarkStart w:id="260" w:name="_Toc200513175"/>
      <w:bookmarkStart w:id="261" w:name="_Toc23543"/>
      <w:r>
        <w:rPr>
          <w:rFonts w:hint="eastAsia" w:ascii="方正黑体_GBK" w:hAnsi="方正黑体_GBK" w:eastAsia="方正黑体_GBK" w:cs="方正黑体_GBK"/>
          <w:b/>
          <w:snapToGrid w:val="0"/>
          <w:kern w:val="0"/>
          <w:sz w:val="24"/>
          <w:szCs w:val="24"/>
          <w:lang w:val="zh-CN"/>
        </w:rPr>
        <w:t>9.3 对评标委员会成员的纪律要求</w:t>
      </w:r>
      <w:bookmarkEnd w:id="256"/>
      <w:bookmarkEnd w:id="257"/>
      <w:bookmarkEnd w:id="258"/>
      <w:bookmarkEnd w:id="259"/>
      <w:bookmarkEnd w:id="260"/>
      <w:bookmarkEnd w:id="261"/>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62" w:name="_Toc200513176"/>
      <w:bookmarkStart w:id="263" w:name="_Toc334774211"/>
      <w:bookmarkStart w:id="264" w:name="_Toc325636629"/>
      <w:bookmarkStart w:id="265" w:name="_Toc18783"/>
      <w:bookmarkStart w:id="266" w:name="_Toc13285"/>
      <w:bookmarkStart w:id="267" w:name="_Toc317863471"/>
      <w:bookmarkStart w:id="268" w:name="_Toc531594777"/>
      <w:r>
        <w:rPr>
          <w:rFonts w:hint="eastAsia" w:ascii="方正黑体_GBK" w:hAnsi="方正黑体_GBK" w:eastAsia="方正黑体_GBK" w:cs="方正黑体_GBK"/>
          <w:b/>
          <w:snapToGrid w:val="0"/>
          <w:kern w:val="0"/>
          <w:sz w:val="24"/>
          <w:szCs w:val="24"/>
          <w:lang w:val="zh-CN"/>
        </w:rPr>
        <w:t>9.4 对与评标活动有关的工作人员的纪律要求</w:t>
      </w:r>
      <w:bookmarkEnd w:id="262"/>
      <w:bookmarkEnd w:id="263"/>
      <w:bookmarkEnd w:id="264"/>
      <w:bookmarkEnd w:id="265"/>
      <w:bookmarkEnd w:id="266"/>
      <w:bookmarkEnd w:id="267"/>
      <w:bookmarkEnd w:id="268"/>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keepNext w:val="0"/>
        <w:keepLines w:val="0"/>
        <w:pageBreakBefore w:val="0"/>
        <w:kinsoku/>
        <w:wordWrap/>
        <w:overflowPunct/>
        <w:topLinePunct w:val="0"/>
        <w:autoSpaceDE w:val="0"/>
        <w:autoSpaceDN w:val="0"/>
        <w:bidi w:val="0"/>
        <w:adjustRightInd w:val="0"/>
        <w:snapToGrid w:val="0"/>
        <w:spacing w:before="16" w:line="520" w:lineRule="exact"/>
        <w:jc w:val="left"/>
        <w:outlineLvl w:val="2"/>
        <w:rPr>
          <w:rFonts w:hint="eastAsia" w:ascii="方正黑体_GBK" w:hAnsi="方正黑体_GBK" w:eastAsia="方正黑体_GBK" w:cs="方正黑体_GBK"/>
          <w:b/>
          <w:snapToGrid w:val="0"/>
          <w:kern w:val="0"/>
          <w:sz w:val="24"/>
          <w:szCs w:val="24"/>
          <w:lang w:val="zh-CN"/>
        </w:rPr>
      </w:pPr>
      <w:bookmarkStart w:id="269" w:name="_Toc200513177"/>
      <w:bookmarkStart w:id="270" w:name="_Toc325636630"/>
      <w:bookmarkStart w:id="271" w:name="_Toc317863472"/>
      <w:bookmarkStart w:id="272" w:name="_Toc531594778"/>
      <w:bookmarkStart w:id="273" w:name="_Toc17360"/>
      <w:bookmarkStart w:id="274" w:name="_Toc13124"/>
      <w:bookmarkStart w:id="275" w:name="_Toc334774212"/>
      <w:r>
        <w:rPr>
          <w:rFonts w:hint="eastAsia" w:ascii="方正黑体_GBK" w:hAnsi="方正黑体_GBK" w:eastAsia="方正黑体_GBK" w:cs="方正黑体_GBK"/>
          <w:b/>
          <w:snapToGrid w:val="0"/>
          <w:kern w:val="0"/>
          <w:sz w:val="24"/>
          <w:szCs w:val="24"/>
          <w:lang w:val="zh-CN"/>
        </w:rPr>
        <w:t>9.5 投诉</w:t>
      </w:r>
      <w:bookmarkEnd w:id="269"/>
      <w:bookmarkEnd w:id="270"/>
      <w:bookmarkEnd w:id="271"/>
      <w:bookmarkEnd w:id="272"/>
      <w:bookmarkEnd w:id="273"/>
      <w:bookmarkEnd w:id="274"/>
      <w:bookmarkEnd w:id="275"/>
    </w:p>
    <w:p>
      <w:pPr>
        <w:keepNext w:val="0"/>
        <w:keepLines w:val="0"/>
        <w:pageBreakBefore w:val="0"/>
        <w:kinsoku/>
        <w:wordWrap/>
        <w:overflowPunct/>
        <w:topLinePunct w:val="0"/>
        <w:autoSpaceDE w:val="0"/>
        <w:autoSpaceDN w:val="0"/>
        <w:bidi w:val="0"/>
        <w:adjustRightInd w:val="0"/>
        <w:snapToGrid w:val="0"/>
        <w:spacing w:line="520" w:lineRule="exact"/>
        <w:ind w:firstLine="560" w:firstLineChars="200"/>
        <w:rPr>
          <w:rFonts w:hint="eastAsia" w:ascii="仿宋" w:hAnsi="仿宋" w:eastAsia="仿宋" w:cs="仿宋"/>
          <w:snapToGrid w:val="0"/>
          <w:kern w:val="0"/>
          <w:sz w:val="28"/>
          <w:szCs w:val="28"/>
        </w:rPr>
      </w:pPr>
      <w:r>
        <w:rPr>
          <w:rFonts w:hint="eastAsia" w:ascii="仿宋" w:hAnsi="仿宋" w:eastAsia="仿宋" w:cs="仿宋"/>
          <w:snapToGrid w:val="0"/>
          <w:kern w:val="0"/>
          <w:sz w:val="28"/>
          <w:szCs w:val="28"/>
        </w:rPr>
        <w:t>投标人和其他利害关系人认为本次招标活动违反法律、法规和规章规定的，有权向学院党政办公室，或学院有关行政监督部门投诉。</w:t>
      </w:r>
    </w:p>
    <w:p>
      <w:pPr>
        <w:keepNext w:val="0"/>
        <w:keepLines w:val="0"/>
        <w:pageBreakBefore w:val="0"/>
        <w:kinsoku/>
        <w:wordWrap/>
        <w:overflowPunct/>
        <w:topLinePunct w:val="0"/>
        <w:autoSpaceDE w:val="0"/>
        <w:autoSpaceDN w:val="0"/>
        <w:bidi w:val="0"/>
        <w:adjustRightInd w:val="0"/>
        <w:snapToGrid w:val="0"/>
        <w:spacing w:line="520" w:lineRule="exact"/>
        <w:jc w:val="left"/>
        <w:outlineLvl w:val="1"/>
        <w:rPr>
          <w:rFonts w:hint="eastAsia" w:ascii="方正黑体_GBK" w:hAnsi="方正黑体_GBK" w:eastAsia="方正黑体_GBK" w:cs="方正黑体_GBK"/>
          <w:b/>
          <w:snapToGrid w:val="0"/>
          <w:w w:val="99"/>
          <w:kern w:val="0"/>
          <w:sz w:val="28"/>
          <w:szCs w:val="28"/>
          <w:lang w:val="zh-CN"/>
        </w:rPr>
      </w:pPr>
      <w:bookmarkStart w:id="276" w:name="_Toc14201"/>
      <w:bookmarkStart w:id="277" w:name="_Toc334774213"/>
      <w:bookmarkStart w:id="278" w:name="_Toc531594779"/>
      <w:bookmarkStart w:id="279" w:name="_Toc6107"/>
      <w:r>
        <w:rPr>
          <w:rFonts w:hint="eastAsia" w:ascii="方正黑体_GBK" w:hAnsi="方正黑体_GBK" w:eastAsia="方正黑体_GBK" w:cs="方正黑体_GBK"/>
          <w:b/>
          <w:snapToGrid w:val="0"/>
          <w:w w:val="99"/>
          <w:kern w:val="0"/>
          <w:sz w:val="28"/>
          <w:szCs w:val="28"/>
          <w:lang w:val="zh-CN"/>
        </w:rPr>
        <w:t>10. 其他</w:t>
      </w:r>
      <w:bookmarkEnd w:id="276"/>
      <w:bookmarkEnd w:id="277"/>
      <w:bookmarkEnd w:id="278"/>
      <w:bookmarkEnd w:id="279"/>
    </w:p>
    <w:p>
      <w:pPr>
        <w:keepNext w:val="0"/>
        <w:keepLines w:val="0"/>
        <w:pageBreakBefore w:val="0"/>
        <w:kinsoku/>
        <w:wordWrap/>
        <w:overflowPunct/>
        <w:topLinePunct w:val="0"/>
        <w:autoSpaceDE w:val="0"/>
        <w:autoSpaceDN w:val="0"/>
        <w:bidi w:val="0"/>
        <w:adjustRightInd w:val="0"/>
        <w:snapToGrid w:val="0"/>
        <w:spacing w:line="520" w:lineRule="exact"/>
        <w:ind w:left="420"/>
        <w:rPr>
          <w:rFonts w:ascii="仿宋_GB2312" w:hAnsi="宋体" w:eastAsia="仿宋_GB2312" w:cs="Times New Roman"/>
          <w:snapToGrid w:val="0"/>
          <w:kern w:val="0"/>
          <w:sz w:val="21"/>
          <w:szCs w:val="21"/>
        </w:rPr>
      </w:pPr>
      <w:r>
        <w:rPr>
          <w:rFonts w:hint="eastAsia" w:ascii="仿宋" w:hAnsi="仿宋" w:eastAsia="仿宋" w:cs="仿宋"/>
          <w:snapToGrid w:val="0"/>
          <w:kern w:val="0"/>
          <w:sz w:val="28"/>
          <w:szCs w:val="28"/>
        </w:rPr>
        <w:t>其他补充内容要求见投标人需知内容和前附表。</w:t>
      </w:r>
    </w:p>
    <w:p>
      <w:pPr>
        <w:keepNext w:val="0"/>
        <w:keepLines w:val="0"/>
        <w:pageBreakBefore w:val="0"/>
        <w:kinsoku/>
        <w:wordWrap/>
        <w:overflowPunct/>
        <w:topLinePunct w:val="0"/>
        <w:autoSpaceDE w:val="0"/>
        <w:autoSpaceDN w:val="0"/>
        <w:bidi w:val="0"/>
        <w:adjustRightInd w:val="0"/>
        <w:snapToGrid w:val="0"/>
        <w:spacing w:line="52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ind w:left="420"/>
        <w:rPr>
          <w:rFonts w:ascii="仿宋_GB2312" w:hAnsi="宋体" w:eastAsia="仿宋_GB2312" w:cs="Times New Roman"/>
          <w:snapToGrid w:val="0"/>
          <w:kern w:val="0"/>
          <w:sz w:val="21"/>
          <w:szCs w:val="21"/>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rPr>
          <w:rFonts w:asciiTheme="minorEastAsia" w:hAnsiTheme="minorEastAsia" w:eastAsiaTheme="minorEastAsia"/>
        </w:rPr>
      </w:pPr>
    </w:p>
    <w:p>
      <w:pPr>
        <w:autoSpaceDE w:val="0"/>
        <w:autoSpaceDN w:val="0"/>
        <w:adjustRightInd w:val="0"/>
        <w:snapToGrid w:val="0"/>
        <w:spacing w:line="300" w:lineRule="exact"/>
        <w:ind w:left="420"/>
        <w:rPr>
          <w:rFonts w:asciiTheme="minorEastAsia" w:hAnsiTheme="minorEastAsia" w:eastAsiaTheme="minorEastAsia"/>
        </w:rPr>
      </w:pPr>
    </w:p>
    <w:p>
      <w:pPr>
        <w:pStyle w:val="113"/>
        <w:ind w:firstLine="0"/>
        <w:rPr>
          <w:rFonts w:asciiTheme="minorEastAsia" w:hAnsiTheme="minorEastAsia" w:eastAsiaTheme="minorEastAsia" w:cstheme="minorBidi"/>
          <w:szCs w:val="22"/>
        </w:rPr>
      </w:pPr>
    </w:p>
    <w:p>
      <w:pPr>
        <w:pStyle w:val="113"/>
        <w:ind w:firstLine="0"/>
        <w:rPr>
          <w:rFonts w:asciiTheme="minorEastAsia" w:hAnsiTheme="minorEastAsia" w:eastAsiaTheme="minorEastAsia" w:cstheme="minorBidi"/>
          <w:szCs w:val="22"/>
        </w:rPr>
      </w:pPr>
    </w:p>
    <w:bookmarkEnd w:id="2"/>
    <w:bookmarkEnd w:id="3"/>
    <w:bookmarkEnd w:id="16"/>
    <w:p>
      <w:pPr>
        <w:autoSpaceDE w:val="0"/>
        <w:autoSpaceDN w:val="0"/>
        <w:spacing w:line="360" w:lineRule="atLeast"/>
        <w:contextualSpacing/>
        <w:jc w:val="center"/>
        <w:rPr>
          <w:rFonts w:hint="eastAsia" w:ascii="仿宋" w:hAnsi="仿宋" w:eastAsia="仿宋" w:cs="仿宋"/>
          <w:b/>
          <w:bCs/>
          <w:sz w:val="44"/>
          <w:szCs w:val="44"/>
        </w:rPr>
      </w:pPr>
      <w:bookmarkStart w:id="280" w:name="_Toc10725332"/>
      <w:bookmarkStart w:id="281" w:name="_Toc454373092"/>
      <w:bookmarkStart w:id="282" w:name="_Toc481694470"/>
      <w:bookmarkStart w:id="283" w:name="_Toc484637075"/>
      <w:r>
        <w:rPr>
          <w:rFonts w:hint="eastAsia" w:ascii="仿宋" w:hAnsi="仿宋" w:eastAsia="仿宋" w:cs="仿宋"/>
          <w:b/>
          <w:bCs/>
          <w:sz w:val="44"/>
          <w:szCs w:val="44"/>
        </w:rPr>
        <w:t>第三章 招标技术要求</w:t>
      </w:r>
      <w:bookmarkEnd w:id="280"/>
    </w:p>
    <w:p>
      <w:pPr>
        <w:autoSpaceDE w:val="0"/>
        <w:autoSpaceDN w:val="0"/>
        <w:spacing w:line="360" w:lineRule="atLeast"/>
        <w:contextualSpacing/>
        <w:jc w:val="center"/>
        <w:rPr>
          <w:rFonts w:hint="eastAsia" w:asciiTheme="minorEastAsia" w:hAnsiTheme="minorEastAsia" w:eastAsiaTheme="minorEastAsia"/>
          <w:b/>
          <w:bCs/>
          <w:sz w:val="44"/>
          <w:szCs w:val="44"/>
        </w:rPr>
      </w:pPr>
    </w:p>
    <w:p>
      <w:pPr>
        <w:pStyle w:val="3"/>
        <w:numPr>
          <w:ilvl w:val="0"/>
          <w:numId w:val="0"/>
        </w:numPr>
        <w:spacing w:after="60" w:line="360" w:lineRule="atLeast"/>
        <w:ind w:left="578" w:hanging="578"/>
        <w:rPr>
          <w:rFonts w:hint="eastAsia" w:ascii="仿宋" w:hAnsi="仿宋" w:eastAsia="仿宋" w:cs="仿宋"/>
          <w:sz w:val="28"/>
          <w:szCs w:val="28"/>
        </w:rPr>
      </w:pPr>
      <w:r>
        <w:rPr>
          <w:rFonts w:hint="eastAsia" w:ascii="仿宋" w:hAnsi="仿宋" w:eastAsia="仿宋" w:cs="仿宋"/>
          <w:sz w:val="28"/>
          <w:szCs w:val="28"/>
        </w:rPr>
        <w:t>一、项目基本情况</w:t>
      </w:r>
    </w:p>
    <w:tbl>
      <w:tblPr>
        <w:tblStyle w:val="43"/>
        <w:tblW w:w="9075"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970"/>
        <w:gridCol w:w="945"/>
        <w:gridCol w:w="94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tcPr>
          <w:p>
            <w:pPr>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2970" w:type="dxa"/>
          </w:tcPr>
          <w:p>
            <w:pPr>
              <w:jc w:val="center"/>
              <w:rPr>
                <w:rFonts w:hint="eastAsia" w:ascii="宋体" w:hAnsi="宋体" w:eastAsia="宋体" w:cs="宋体"/>
                <w:sz w:val="21"/>
                <w:szCs w:val="21"/>
              </w:rPr>
            </w:pPr>
            <w:r>
              <w:rPr>
                <w:rFonts w:hint="eastAsia" w:ascii="宋体" w:hAnsi="宋体" w:eastAsia="宋体" w:cs="宋体"/>
                <w:b/>
                <w:sz w:val="21"/>
                <w:szCs w:val="21"/>
              </w:rPr>
              <w:t>名称</w:t>
            </w:r>
          </w:p>
        </w:tc>
        <w:tc>
          <w:tcPr>
            <w:tcW w:w="945" w:type="dxa"/>
          </w:tcPr>
          <w:p>
            <w:pPr>
              <w:jc w:val="center"/>
              <w:rPr>
                <w:rFonts w:hint="eastAsia" w:ascii="宋体" w:hAnsi="宋体" w:eastAsia="宋体" w:cs="宋体"/>
                <w:sz w:val="21"/>
                <w:szCs w:val="21"/>
              </w:rPr>
            </w:pPr>
            <w:r>
              <w:rPr>
                <w:rFonts w:hint="eastAsia" w:ascii="宋体" w:hAnsi="宋体" w:eastAsia="宋体" w:cs="宋体"/>
                <w:b/>
                <w:sz w:val="21"/>
                <w:szCs w:val="21"/>
              </w:rPr>
              <w:t>数量</w:t>
            </w:r>
          </w:p>
        </w:tc>
        <w:tc>
          <w:tcPr>
            <w:tcW w:w="945" w:type="dxa"/>
          </w:tcPr>
          <w:p>
            <w:pPr>
              <w:jc w:val="center"/>
              <w:rPr>
                <w:rFonts w:hint="eastAsia" w:ascii="宋体" w:hAnsi="宋体" w:eastAsia="宋体" w:cs="宋体"/>
                <w:sz w:val="21"/>
                <w:szCs w:val="21"/>
              </w:rPr>
            </w:pPr>
            <w:r>
              <w:rPr>
                <w:rFonts w:hint="eastAsia" w:ascii="宋体" w:hAnsi="宋体" w:eastAsia="宋体" w:cs="宋体"/>
                <w:b/>
                <w:sz w:val="21"/>
                <w:szCs w:val="21"/>
              </w:rPr>
              <w:t>单位</w:t>
            </w:r>
          </w:p>
        </w:tc>
        <w:tc>
          <w:tcPr>
            <w:tcW w:w="3285" w:type="dxa"/>
          </w:tcPr>
          <w:p>
            <w:pPr>
              <w:jc w:val="center"/>
              <w:rPr>
                <w:rFonts w:hint="eastAsia" w:ascii="宋体" w:hAnsi="宋体" w:eastAsia="宋体" w:cs="宋体"/>
                <w:sz w:val="21"/>
                <w:szCs w:val="21"/>
              </w:rPr>
            </w:pPr>
            <w:r>
              <w:rPr>
                <w:rFonts w:hint="eastAsia" w:ascii="宋体" w:hAnsi="宋体" w:eastAsia="宋体" w:cs="宋体"/>
                <w:b/>
                <w:sz w:val="21"/>
                <w:szCs w:val="21"/>
              </w:rPr>
              <w:t>综合描述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2970" w:type="dxa"/>
            <w:vAlign w:val="center"/>
          </w:tcPr>
          <w:p>
            <w:pPr>
              <w:widowControl/>
              <w:spacing w:line="240" w:lineRule="exact"/>
              <w:jc w:val="center"/>
              <w:rPr>
                <w:rFonts w:hint="eastAsia" w:ascii="宋体" w:hAnsi="宋体" w:eastAsia="宋体" w:cs="宋体"/>
                <w:spacing w:val="-10"/>
                <w:sz w:val="21"/>
                <w:szCs w:val="21"/>
              </w:rPr>
            </w:pPr>
            <w:r>
              <w:rPr>
                <w:rFonts w:hint="eastAsia" w:ascii="宋体" w:hAnsi="宋体" w:eastAsia="宋体" w:cs="宋体"/>
                <w:color w:val="000000"/>
                <w:kern w:val="0"/>
                <w:sz w:val="21"/>
                <w:szCs w:val="21"/>
              </w:rPr>
              <w:t>中新金融科技实验实训中心</w:t>
            </w:r>
            <w:r>
              <w:rPr>
                <w:rFonts w:hint="eastAsia" w:ascii="宋体" w:hAnsi="宋体" w:cs="宋体"/>
                <w:color w:val="000000"/>
                <w:kern w:val="0"/>
                <w:sz w:val="21"/>
                <w:szCs w:val="21"/>
                <w:lang w:eastAsia="zh-CN"/>
              </w:rPr>
              <w:t>电脑</w:t>
            </w:r>
            <w:r>
              <w:rPr>
                <w:rFonts w:hint="eastAsia" w:ascii="宋体" w:hAnsi="宋体" w:eastAsia="宋体" w:cs="宋体"/>
                <w:color w:val="000000"/>
                <w:kern w:val="0"/>
                <w:sz w:val="21"/>
                <w:szCs w:val="21"/>
              </w:rPr>
              <w:t>设备</w:t>
            </w:r>
          </w:p>
        </w:tc>
        <w:tc>
          <w:tcPr>
            <w:tcW w:w="94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94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批</w:t>
            </w:r>
          </w:p>
        </w:tc>
        <w:tc>
          <w:tcPr>
            <w:tcW w:w="328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附后</w:t>
            </w:r>
          </w:p>
        </w:tc>
      </w:tr>
    </w:tbl>
    <w:p>
      <w:pPr>
        <w:pStyle w:val="3"/>
        <w:numPr>
          <w:ilvl w:val="0"/>
          <w:numId w:val="0"/>
        </w:numPr>
        <w:spacing w:after="60" w:line="360" w:lineRule="atLeast"/>
        <w:ind w:left="578" w:hanging="578"/>
      </w:pPr>
      <w:r>
        <w:rPr>
          <w:rFonts w:hint="eastAsia" w:ascii="仿宋" w:hAnsi="仿宋" w:eastAsia="仿宋" w:cs="仿宋"/>
          <w:sz w:val="28"/>
          <w:szCs w:val="28"/>
        </w:rPr>
        <w:t>二、主要设备清单</w:t>
      </w:r>
    </w:p>
    <w:tbl>
      <w:tblPr>
        <w:tblStyle w:val="42"/>
        <w:tblW w:w="9077" w:type="dxa"/>
        <w:jc w:val="center"/>
        <w:tblLayout w:type="fixed"/>
        <w:tblCellMar>
          <w:top w:w="0" w:type="dxa"/>
          <w:left w:w="108" w:type="dxa"/>
          <w:bottom w:w="0" w:type="dxa"/>
          <w:right w:w="108" w:type="dxa"/>
        </w:tblCellMar>
      </w:tblPr>
      <w:tblGrid>
        <w:gridCol w:w="937"/>
        <w:gridCol w:w="2955"/>
        <w:gridCol w:w="1005"/>
        <w:gridCol w:w="885"/>
        <w:gridCol w:w="3295"/>
      </w:tblGrid>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序号</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设备名称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数量</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w:t>
            </w:r>
          </w:p>
        </w:tc>
        <w:tc>
          <w:tcPr>
            <w:tcW w:w="3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台式电脑（教师用）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教学一体机（学生用）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3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24口交换机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3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服务器</w:t>
            </w:r>
          </w:p>
        </w:tc>
        <w:tc>
          <w:tcPr>
            <w:tcW w:w="100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c>
          <w:tcPr>
            <w:tcW w:w="32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思杰软件</w:t>
            </w:r>
          </w:p>
        </w:tc>
        <w:tc>
          <w:tcPr>
            <w:tcW w:w="100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100</w:t>
            </w: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c>
          <w:tcPr>
            <w:tcW w:w="32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服务器UPS电池</w:t>
            </w:r>
          </w:p>
        </w:tc>
        <w:tc>
          <w:tcPr>
            <w:tcW w:w="100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64</w:t>
            </w: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只</w:t>
            </w:r>
          </w:p>
        </w:tc>
        <w:tc>
          <w:tcPr>
            <w:tcW w:w="32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网络交换机</w:t>
            </w:r>
          </w:p>
        </w:tc>
        <w:tc>
          <w:tcPr>
            <w:tcW w:w="100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w:t>
            </w: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w:t>
            </w:r>
          </w:p>
        </w:tc>
        <w:tc>
          <w:tcPr>
            <w:tcW w:w="32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具体安放位置见技术部分</w:t>
            </w:r>
          </w:p>
        </w:tc>
      </w:tr>
      <w:tr>
        <w:tblPrEx>
          <w:tblCellMar>
            <w:top w:w="0" w:type="dxa"/>
            <w:left w:w="108" w:type="dxa"/>
            <w:bottom w:w="0" w:type="dxa"/>
            <w:right w:w="108" w:type="dxa"/>
          </w:tblCellMar>
        </w:tblPrEx>
        <w:trPr>
          <w:trHeight w:val="440" w:hRule="atLeast"/>
          <w:jc w:val="center"/>
        </w:trPr>
        <w:tc>
          <w:tcPr>
            <w:tcW w:w="937"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w:t>
            </w:r>
          </w:p>
        </w:tc>
        <w:tc>
          <w:tcPr>
            <w:tcW w:w="295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人工及辅材</w:t>
            </w:r>
          </w:p>
        </w:tc>
        <w:tc>
          <w:tcPr>
            <w:tcW w:w="100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p>
        </w:tc>
        <w:tc>
          <w:tcPr>
            <w:tcW w:w="8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p>
        </w:tc>
        <w:tc>
          <w:tcPr>
            <w:tcW w:w="3295"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hint="eastAsia" w:ascii="宋体" w:hAnsi="宋体" w:eastAsia="宋体" w:cs="宋体"/>
                <w:color w:val="000000"/>
                <w:kern w:val="0"/>
                <w:sz w:val="21"/>
                <w:szCs w:val="21"/>
                <w:lang w:bidi="ar"/>
              </w:rPr>
            </w:pPr>
          </w:p>
        </w:tc>
      </w:tr>
    </w:tbl>
    <w:p>
      <w:pPr>
        <w:keepNext w:val="0"/>
        <w:keepLines w:val="0"/>
        <w:pageBreakBefore w:val="0"/>
        <w:kinsoku/>
        <w:wordWrap/>
        <w:overflowPunct/>
        <w:topLinePunct w:val="0"/>
        <w:autoSpaceDE/>
        <w:autoSpaceDN/>
        <w:bidi w:val="0"/>
        <w:adjustRightInd/>
        <w:snapToGrid/>
        <w:spacing w:line="520" w:lineRule="exact"/>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203"/>
          <w:rFonts w:hint="eastAsia" w:ascii="宋体" w:hAnsi="宋体" w:eastAsia="宋体" w:cs="宋体"/>
          <w:color w:val="000000"/>
          <w:sz w:val="21"/>
          <w:szCs w:val="21"/>
        </w:rPr>
      </w:pPr>
      <w:r>
        <w:rPr>
          <w:rFonts w:hint="eastAsia" w:ascii="宋体" w:hAnsi="宋体" w:eastAsia="宋体" w:cs="宋体"/>
          <w:b/>
          <w:bCs/>
          <w:sz w:val="21"/>
          <w:szCs w:val="21"/>
        </w:rPr>
        <w:t>说明</w:t>
      </w:r>
      <w:r>
        <w:rPr>
          <w:rFonts w:hint="eastAsia" w:ascii="宋体" w:hAnsi="宋体" w:eastAsia="宋体" w:cs="宋体"/>
          <w:sz w:val="21"/>
          <w:szCs w:val="21"/>
        </w:rPr>
        <w:t>：该表清单为招标人自拟清单，投标人可根据所投产品特点调整工程清单，但须满足招标人的目标需求。</w:t>
      </w:r>
      <w:r>
        <w:rPr>
          <w:rStyle w:val="203"/>
          <w:rFonts w:hint="eastAsia" w:ascii="宋体" w:hAnsi="宋体" w:eastAsia="宋体" w:cs="宋体"/>
          <w:color w:val="000000"/>
          <w:sz w:val="21"/>
          <w:szCs w:val="21"/>
        </w:rPr>
        <w:t>如果投标人的投标报价中有漏项，则该投标人的投标价格评分时需加上漏项部分，漏项部分的价格按所有投标人中相应部分所报的最高价格计算；如果该投标人中标，则其中标价不能调整，即漏项部分的价格需该投标人自行消化（如构成实质性响应招标文件要求的，将不得中标）。</w:t>
      </w:r>
      <w:r>
        <w:rPr>
          <w:rFonts w:hint="eastAsia" w:ascii="宋体" w:hAnsi="宋体" w:eastAsia="宋体" w:cs="宋体"/>
          <w:sz w:val="21"/>
          <w:szCs w:val="21"/>
        </w:rPr>
        <w:t>人工施工及线材安装部分、集成布线、机柜，地插，插线板等以现场为准自行核算。超六类网线推荐：安普，一舟，爱谱华顿等（超六类双绞线，8蕊全铜，铜蕊直径 0.48mm）；网络机柜推荐：图腾，一舟，广通等（24U网络标准机柜，玻璃门）；电线推荐：鸽牌，南方，泰山等（≥2．5平方铜蕊电线）；电插线板推荐：公牛，子弹头等按电脑点数1：2配比插孔。</w:t>
      </w:r>
    </w:p>
    <w:p>
      <w:pPr>
        <w:keepNext w:val="0"/>
        <w:keepLines w:val="0"/>
        <w:pageBreakBefore w:val="0"/>
        <w:widowControl/>
        <w:kinsoku/>
        <w:wordWrap/>
        <w:overflowPunct/>
        <w:topLinePunct w:val="0"/>
        <w:autoSpaceDE/>
        <w:autoSpaceDN/>
        <w:bidi w:val="0"/>
        <w:adjustRightInd/>
        <w:snapToGrid/>
        <w:spacing w:line="520" w:lineRule="exact"/>
        <w:jc w:val="left"/>
        <w:rPr>
          <w:rFonts w:hint="eastAsia" w:ascii="宋体" w:hAnsi="宋体" w:eastAsia="宋体" w:cs="宋体"/>
          <w:sz w:val="21"/>
          <w:szCs w:val="21"/>
        </w:rPr>
      </w:pPr>
      <w:r>
        <w:rPr>
          <w:rStyle w:val="203"/>
          <w:rFonts w:hint="eastAsia" w:ascii="宋体" w:hAnsi="宋体" w:eastAsia="宋体" w:cs="宋体"/>
          <w:color w:val="000000"/>
          <w:sz w:val="21"/>
          <w:szCs w:val="21"/>
        </w:rPr>
        <w:br w:type="page"/>
      </w:r>
      <w:r>
        <w:rPr>
          <w:rFonts w:hint="eastAsia" w:ascii="仿宋" w:hAnsi="仿宋" w:eastAsia="仿宋" w:cs="仿宋"/>
          <w:b/>
          <w:bCs/>
          <w:kern w:val="2"/>
          <w:sz w:val="28"/>
          <w:szCs w:val="28"/>
          <w:lang w:val="en-US" w:eastAsia="zh-CN" w:bidi="ar-SA"/>
        </w:rPr>
        <w:t>三、主要技术要求</w:t>
      </w:r>
    </w:p>
    <w:p>
      <w:pPr>
        <w:widowControl/>
        <w:jc w:val="left"/>
        <w:rPr>
          <w:rStyle w:val="203"/>
          <w:rFonts w:ascii="宋体" w:hAnsi="宋体" w:cs="宋体"/>
          <w:color w:val="000000"/>
          <w:sz w:val="20"/>
          <w:szCs w:val="20"/>
        </w:rPr>
      </w:pPr>
    </w:p>
    <w:tbl>
      <w:tblPr>
        <w:tblStyle w:val="42"/>
        <w:tblW w:w="5185" w:type="pct"/>
        <w:tblInd w:w="0" w:type="dxa"/>
        <w:tblLayout w:type="fixed"/>
        <w:tblCellMar>
          <w:top w:w="0" w:type="dxa"/>
          <w:left w:w="108" w:type="dxa"/>
          <w:bottom w:w="0" w:type="dxa"/>
          <w:right w:w="108" w:type="dxa"/>
        </w:tblCellMar>
      </w:tblPr>
      <w:tblGrid>
        <w:gridCol w:w="1120"/>
        <w:gridCol w:w="4977"/>
        <w:gridCol w:w="11"/>
        <w:gridCol w:w="885"/>
        <w:gridCol w:w="11"/>
        <w:gridCol w:w="510"/>
        <w:gridCol w:w="9"/>
        <w:gridCol w:w="1272"/>
      </w:tblGrid>
      <w:tr>
        <w:tblPrEx>
          <w:tblCellMar>
            <w:top w:w="0" w:type="dxa"/>
            <w:left w:w="108" w:type="dxa"/>
            <w:bottom w:w="0" w:type="dxa"/>
            <w:right w:w="108" w:type="dxa"/>
          </w:tblCellMar>
        </w:tblPrEx>
        <w:trPr>
          <w:trHeight w:val="4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主校区1217-大数据金融实验室</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设备名称</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技术参数</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数量</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单位</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推荐品牌</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台式电脑（教师用）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1、CPU：Intel 酷睿I5-11400(2.6GHz, 12MB)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2、芯片组：Intel  B560，全固态电容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3、内存：16G DDR4 2666MHz，最大支持64G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4、硬盘：256G SSD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5、显示器:同品牌≥21英寸LED显示屏</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6、键盘/鼠标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24口交换机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100" w:beforeAutospacing="1" w:after="100" w:afterAutospacing="1"/>
              <w:jc w:val="left"/>
              <w:rPr>
                <w:rFonts w:ascii="宋体" w:hAnsi="宋体" w:cs="宋体"/>
                <w:color w:val="333333"/>
                <w:kern w:val="0"/>
                <w:sz w:val="20"/>
                <w:szCs w:val="20"/>
              </w:rPr>
            </w:pPr>
            <w:r>
              <w:rPr>
                <w:rFonts w:hint="eastAsia" w:ascii="宋体" w:hAnsi="宋体" w:cs="宋体"/>
                <w:color w:val="333333"/>
                <w:kern w:val="0"/>
                <w:sz w:val="20"/>
                <w:szCs w:val="20"/>
              </w:rPr>
              <w:t>24个10/100/1000M自适应以太网端口</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23" w:type="pct"/>
            <w:tcBorders>
              <w:top w:val="single" w:color="000000" w:sz="4" w:space="0"/>
              <w:left w:val="single" w:color="000000" w:sz="4" w:space="0"/>
              <w:bottom w:val="single" w:color="000000" w:sz="4" w:space="0"/>
              <w:right w:val="single" w:color="000000" w:sz="4" w:space="0"/>
            </w:tcBorders>
          </w:tcPr>
          <w:p>
            <w:pPr>
              <w:widowControl/>
              <w:textAlignment w:val="center"/>
              <w:rPr>
                <w:rFonts w:ascii="宋体" w:hAnsi="宋体" w:cs="宋体"/>
                <w:color w:val="000000" w:themeColor="text1"/>
                <w:sz w:val="20"/>
                <w:szCs w:val="20"/>
              </w:rPr>
            </w:pPr>
            <w:r>
              <w:rPr>
                <w:rStyle w:val="47"/>
                <w:rFonts w:hint="eastAsia" w:ascii="宋体" w:hAnsi="宋体" w:cs="宋体"/>
                <w:color w:val="000000" w:themeColor="text1"/>
                <w:sz w:val="20"/>
                <w:szCs w:val="20"/>
              </w:rPr>
              <w:t>H3C,华为,锐捷</w:t>
            </w:r>
          </w:p>
        </w:tc>
      </w:tr>
      <w:tr>
        <w:tblPrEx>
          <w:tblCellMar>
            <w:top w:w="0" w:type="dxa"/>
            <w:left w:w="108" w:type="dxa"/>
            <w:bottom w:w="0" w:type="dxa"/>
            <w:right w:w="108" w:type="dxa"/>
          </w:tblCellMar>
        </w:tblPrEx>
        <w:trPr>
          <w:trHeight w:val="4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主校区1219-智能金融实验室</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台式电脑（教师用）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1、CPU：Intel 酷睿I5-11400(2.6GHz, 12MB)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2、芯片组：Intel  B560，全固态电容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3、内存：16G DDR4 2666MHz，最大支持64G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4、硬盘：256G SSD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5、显示器:同品牌≥21英寸LED显示屏</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6、键盘/鼠标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24口交换机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100" w:beforeAutospacing="1" w:after="100" w:afterAutospacing="1"/>
              <w:jc w:val="left"/>
              <w:rPr>
                <w:rFonts w:ascii="宋体" w:hAnsi="宋体" w:cs="宋体"/>
                <w:color w:val="333333"/>
                <w:kern w:val="0"/>
                <w:sz w:val="20"/>
                <w:szCs w:val="20"/>
              </w:rPr>
            </w:pPr>
            <w:r>
              <w:rPr>
                <w:rFonts w:hint="eastAsia" w:ascii="宋体" w:hAnsi="宋体" w:cs="宋体"/>
                <w:color w:val="333333"/>
                <w:kern w:val="0"/>
                <w:sz w:val="20"/>
                <w:szCs w:val="20"/>
              </w:rPr>
              <w:t>24个10/100/1000M自适应以太网端口</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Style w:val="47"/>
                <w:rFonts w:hint="eastAsia" w:ascii="宋体" w:hAnsi="宋体" w:cs="宋体"/>
                <w:color w:val="000000" w:themeColor="text1"/>
                <w:sz w:val="20"/>
                <w:szCs w:val="20"/>
              </w:rPr>
              <w:t>H3C,华为,锐捷</w:t>
            </w:r>
          </w:p>
        </w:tc>
      </w:tr>
      <w:tr>
        <w:tblPrEx>
          <w:tblCellMar>
            <w:top w:w="0" w:type="dxa"/>
            <w:left w:w="108" w:type="dxa"/>
            <w:bottom w:w="0" w:type="dxa"/>
            <w:right w:w="108" w:type="dxa"/>
          </w:tblCellMar>
        </w:tblPrEx>
        <w:trPr>
          <w:trHeight w:val="4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主校区1221-区块链金融实验室</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台式电脑（教师用）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、CPU：Intel 酷睿I5-11400(2.6GHz, 12MB)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2、芯片组：Intel  B560，全固态电容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3、内存：16G DDR4 2666MHz，最大支持64G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4、硬盘：256G SSD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5、显示器:同品牌≥21英寸LED显示屏</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6、键盘/鼠标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24口交换机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333333"/>
                <w:kern w:val="0"/>
                <w:sz w:val="20"/>
                <w:szCs w:val="20"/>
              </w:rPr>
              <w:t>24个10/100/1000M自适应以太网端口</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Style w:val="47"/>
                <w:rFonts w:hint="eastAsia" w:ascii="宋体" w:hAnsi="宋体" w:cs="宋体"/>
                <w:color w:val="000000" w:themeColor="text1"/>
                <w:sz w:val="20"/>
                <w:szCs w:val="20"/>
              </w:rPr>
              <w:t>H3C,华为,锐捷</w:t>
            </w:r>
          </w:p>
        </w:tc>
      </w:tr>
      <w:tr>
        <w:tblPrEx>
          <w:tblCellMar>
            <w:top w:w="0" w:type="dxa"/>
            <w:left w:w="108" w:type="dxa"/>
            <w:bottom w:w="0" w:type="dxa"/>
            <w:right w:w="108" w:type="dxa"/>
          </w:tblCellMar>
        </w:tblPrEx>
        <w:trPr>
          <w:trHeight w:val="440" w:hRule="atLeast"/>
        </w:trPr>
        <w:tc>
          <w:tcPr>
            <w:tcW w:w="427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主校区18C704-金融科技实训营</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台式电脑（教师用）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、CPU：Intel 酷睿I5-11400(2.6GHz, 12MB)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2、芯片组：Intel  B560，全固态电容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3、内存：16G DDR4 2666MHz，最大支持64G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4、硬盘：256G SSD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5、显示器:同品牌≥21英寸LED显示屏</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6、键盘/鼠标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24口交换机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100" w:beforeAutospacing="1" w:after="100" w:afterAutospacing="1"/>
              <w:jc w:val="left"/>
              <w:rPr>
                <w:rFonts w:ascii="宋体" w:hAnsi="宋体" w:cs="宋体"/>
                <w:color w:val="333333"/>
                <w:kern w:val="0"/>
                <w:sz w:val="20"/>
                <w:szCs w:val="20"/>
              </w:rPr>
            </w:pPr>
            <w:r>
              <w:rPr>
                <w:rFonts w:hint="eastAsia" w:ascii="宋体" w:hAnsi="宋体" w:cs="宋体"/>
                <w:color w:val="333333"/>
                <w:kern w:val="0"/>
                <w:sz w:val="20"/>
                <w:szCs w:val="20"/>
              </w:rPr>
              <w:t>24个10/100/1000M自适应以太网端口</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40" w:hRule="atLeast"/>
        </w:trPr>
        <w:tc>
          <w:tcPr>
            <w:tcW w:w="427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主校区18C705-数字营销实训营</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台式电脑（教师用）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、CPU：Intel 酷睿I5-11400(2.6GHz, 12MB)</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2、芯片组：Intel  B560，全固态电容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3、内存：16G DDR4 2666MHz，最大支持64G</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4、硬盘：256G SSD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5、显示器:同品牌≥21英寸LED显示屏</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6、键盘/鼠标</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惠普</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同1217实验室</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24口交换机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100" w:beforeAutospacing="1" w:after="100" w:afterAutospacing="1"/>
              <w:jc w:val="left"/>
              <w:rPr>
                <w:rFonts w:ascii="宋体" w:hAnsi="宋体" w:cs="宋体"/>
                <w:color w:val="333333"/>
                <w:kern w:val="0"/>
                <w:sz w:val="20"/>
                <w:szCs w:val="20"/>
              </w:rPr>
            </w:pPr>
            <w:r>
              <w:rPr>
                <w:rFonts w:hint="eastAsia" w:ascii="宋体" w:hAnsi="宋体" w:cs="宋体"/>
                <w:color w:val="333333"/>
                <w:kern w:val="0"/>
                <w:sz w:val="20"/>
                <w:szCs w:val="20"/>
              </w:rPr>
              <w:t>24个10/100/1000M自适应以太网端口</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台</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Style w:val="47"/>
                <w:rFonts w:hint="eastAsia" w:ascii="宋体" w:hAnsi="宋体" w:cs="宋体"/>
                <w:color w:val="000000" w:themeColor="text1"/>
                <w:sz w:val="20"/>
                <w:szCs w:val="20"/>
              </w:rPr>
              <w:t>H3C,华为,锐捷</w:t>
            </w:r>
          </w:p>
        </w:tc>
      </w:tr>
      <w:tr>
        <w:tblPrEx>
          <w:tblCellMar>
            <w:top w:w="0" w:type="dxa"/>
            <w:left w:w="108" w:type="dxa"/>
            <w:bottom w:w="0" w:type="dxa"/>
            <w:right w:w="108" w:type="dxa"/>
          </w:tblCellMar>
        </w:tblPrEx>
        <w:trPr>
          <w:trHeight w:val="440" w:hRule="atLeast"/>
        </w:trPr>
        <w:tc>
          <w:tcPr>
            <w:tcW w:w="427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主校区18C706-创新孵化中心</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教学一体机（学生用）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rPr>
          <w:trHeight w:val="440" w:hRule="atLeast"/>
        </w:trPr>
        <w:tc>
          <w:tcPr>
            <w:tcW w:w="4277"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主校区18C707-金融科技报告厅</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教学一体机</w:t>
            </w:r>
          </w:p>
        </w:tc>
        <w:tc>
          <w:tcPr>
            <w:tcW w:w="2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1、CPU：Intel i5  9代及以上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2、内存：8GB DDR4；</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3、硬盘：256SSD 固态硬盘；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4、键盘/鼠标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5、屏幕尺寸不小于21.5寸，分辨率不低于1920×1080</w:t>
            </w:r>
            <w:r>
              <w:rPr>
                <w:rFonts w:hint="eastAsia" w:ascii="宋体" w:hAnsi="宋体" w:cs="宋体"/>
                <w:color w:val="000000"/>
                <w:sz w:val="20"/>
                <w:szCs w:val="20"/>
              </w:rPr>
              <w:t xml:space="preserve"> </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6、具有网络同传保护功能</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套</w:t>
            </w:r>
          </w:p>
        </w:tc>
        <w:tc>
          <w:tcPr>
            <w:tcW w:w="72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华硕</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戴尔</w:t>
            </w:r>
          </w:p>
          <w:p>
            <w:pPr>
              <w:widowControl/>
              <w:jc w:val="center"/>
              <w:textAlignment w:val="center"/>
              <w:rPr>
                <w:rFonts w:ascii="宋体" w:hAnsi="宋体" w:cs="宋体"/>
                <w:bCs/>
                <w:sz w:val="20"/>
                <w:szCs w:val="20"/>
              </w:rPr>
            </w:pPr>
            <w:r>
              <w:rPr>
                <w:rFonts w:hint="eastAsia" w:ascii="宋体" w:hAnsi="宋体" w:cs="宋体"/>
                <w:color w:val="000000"/>
                <w:kern w:val="0"/>
                <w:sz w:val="20"/>
                <w:szCs w:val="20"/>
                <w:lang w:bidi="ar"/>
              </w:rPr>
              <w:t>惠普</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云端时代</w:t>
            </w:r>
          </w:p>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台电</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AOC</w:t>
            </w:r>
          </w:p>
        </w:tc>
      </w:tr>
      <w:tr>
        <w:trPr>
          <w:trHeight w:val="440" w:hRule="atLeast"/>
        </w:trPr>
        <w:tc>
          <w:tcPr>
            <w:tcW w:w="42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中心机房</w:t>
            </w:r>
          </w:p>
        </w:tc>
        <w:tc>
          <w:tcPr>
            <w:tcW w:w="723" w:type="pct"/>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b/>
                <w:bCs/>
                <w:color w:val="000000"/>
                <w:kern w:val="0"/>
                <w:sz w:val="20"/>
                <w:szCs w:val="20"/>
                <w:lang w:bidi="ar"/>
              </w:rPr>
            </w:pPr>
          </w:p>
        </w:tc>
      </w:tr>
      <w:tr>
        <w:tblPrEx>
          <w:tblCellMar>
            <w:top w:w="0" w:type="dxa"/>
            <w:left w:w="108" w:type="dxa"/>
            <w:bottom w:w="0" w:type="dxa"/>
            <w:right w:w="108" w:type="dxa"/>
          </w:tblCellMar>
        </w:tblPrEx>
        <w:trPr>
          <w:trHeight w:val="914"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服务器</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2颗Intel Xeon Gold 6240 18核心2.6GHz主频处理器/448GB（14根*32GB）内存/4块1.92TB SSD固态硬盘/1块4口千兆网卡/2个1100W电源，需接入现有云平台</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72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联想,戴尔</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华为</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思杰软件</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20"/>
                <w:szCs w:val="20"/>
              </w:rPr>
            </w:pPr>
          </w:p>
          <w:p>
            <w:pPr>
              <w:rPr>
                <w:rFonts w:ascii="宋体" w:hAnsi="宋体" w:cs="宋体"/>
                <w:sz w:val="20"/>
                <w:szCs w:val="20"/>
              </w:rPr>
            </w:pPr>
            <w:r>
              <w:rPr>
                <w:rFonts w:hint="eastAsia" w:ascii="宋体" w:hAnsi="宋体" w:cs="宋体"/>
                <w:sz w:val="20"/>
                <w:szCs w:val="20"/>
              </w:rPr>
              <w:t>1.支持客户端裸金属架构的离线虚拟桌面，客户端可同时运行多个离线桌面操作系统，联网时自动同步增量数据至服务器端；</w:t>
            </w:r>
          </w:p>
          <w:p>
            <w:pPr>
              <w:rPr>
                <w:rFonts w:ascii="宋体" w:hAnsi="宋体" w:cs="宋体"/>
                <w:sz w:val="20"/>
                <w:szCs w:val="20"/>
              </w:rPr>
            </w:pPr>
            <w:r>
              <w:rPr>
                <w:rFonts w:hint="eastAsia" w:ascii="宋体" w:hAnsi="宋体" w:cs="宋体"/>
                <w:sz w:val="20"/>
                <w:szCs w:val="20"/>
              </w:rPr>
              <w:t>2.能够具有在瘦客户机、PC的USB接口插入U盘的功能，虚拟桌面能自动找到USB设备的功能，并且能够具有在虚拟桌面和本地桌面都能读取的功能要求。</w:t>
            </w:r>
          </w:p>
          <w:p>
            <w:pPr>
              <w:rPr>
                <w:rFonts w:ascii="宋体" w:hAnsi="宋体" w:cs="宋体"/>
                <w:sz w:val="20"/>
                <w:szCs w:val="20"/>
              </w:rPr>
            </w:pPr>
            <w:r>
              <w:rPr>
                <w:rFonts w:hint="eastAsia" w:ascii="宋体" w:hAnsi="宋体" w:cs="宋体"/>
                <w:sz w:val="20"/>
                <w:szCs w:val="20"/>
              </w:rPr>
              <w:t>3.能够在没有安装任何客户端，通过HTML5协议直接访问云桌面的功能；</w:t>
            </w:r>
          </w:p>
          <w:p>
            <w:pPr>
              <w:rPr>
                <w:rFonts w:ascii="宋体" w:hAnsi="宋体" w:cs="宋体"/>
                <w:sz w:val="20"/>
                <w:szCs w:val="20"/>
              </w:rPr>
            </w:pPr>
            <w:r>
              <w:rPr>
                <w:rFonts w:hint="eastAsia" w:ascii="宋体" w:hAnsi="宋体" w:cs="宋体"/>
                <w:sz w:val="20"/>
                <w:szCs w:val="20"/>
              </w:rPr>
              <w:t>4.必须提供以下几种虚拟桌面类型:针对不同的使用场境，必须要以下几种虚拟化桌面发布方式：1)VDI虚拟桌面方式:每个虚拟桌面相互隔离，以一对一的模式交付给用户。托管式桌面模式：适用于使用人员使用，可以自行安装软件，丰富的个性化配置； 2)能够具有云桌面使用与更新同时进行，且更新完成后前端云桌面重启即可完成更新；同时云桌面可以生成多个版本并且支持回退，防止因管理员更新后软件冲突或者配置不当导致桌面蓝屏、崩溃时需要重新安装系统来制作模版。管理员可以根据实际情况测试模版、设置桌面更新时间，且前端不影响使用。3)共享式服务器桌面，支持共享Windows2003/2008&amp;R2/2012&amp;R2/Linux的桌面，支持多帐户同时连接和登录到同一个Win2003/2008&amp;R2/2012&amp;R2/2016/Linux并给每个用户提供一个桌面，并且能提供良好的用户体验；</w:t>
            </w:r>
          </w:p>
          <w:p>
            <w:pPr>
              <w:rPr>
                <w:rFonts w:ascii="宋体" w:hAnsi="宋体" w:cs="宋体"/>
                <w:sz w:val="20"/>
                <w:szCs w:val="20"/>
              </w:rPr>
            </w:pPr>
            <w:r>
              <w:rPr>
                <w:rFonts w:hint="eastAsia" w:ascii="宋体" w:hAnsi="宋体" w:cs="宋体"/>
                <w:sz w:val="20"/>
                <w:szCs w:val="20"/>
              </w:rPr>
              <w:t>5.支持将物理PC桌面作为虚拟桌面远程发布和访问，并支持远程唤醒物理PC，减少管理员对于物理主机管理的介入；</w:t>
            </w:r>
          </w:p>
          <w:p>
            <w:pPr>
              <w:rPr>
                <w:rFonts w:ascii="宋体" w:hAnsi="宋体" w:cs="宋体"/>
                <w:sz w:val="20"/>
                <w:szCs w:val="20"/>
              </w:rPr>
            </w:pPr>
            <w:r>
              <w:rPr>
                <w:rFonts w:hint="eastAsia" w:ascii="宋体" w:hAnsi="宋体" w:cs="宋体"/>
                <w:sz w:val="20"/>
                <w:szCs w:val="20"/>
              </w:rPr>
              <w:t>6.桌面虚拟化系统应具备以下性能管理功能:1) 虚拟桌面管理员能够实时监测会话性能。2) 管理员可实时诊断性能瓶颈并锁定服务器的位置。3) 管理员可监控每个服务器实际用户会话和应用数据量。4）桌面管理员，可以实时的看到每一个桌面的登录时间、每个虚拟桌面启动时每一步所消耗的时间、从而判断出整个桌面云平台的使用状态、用户和应用的数量；</w:t>
            </w:r>
          </w:p>
          <w:p>
            <w:pPr>
              <w:rPr>
                <w:rFonts w:ascii="宋体" w:hAnsi="宋体" w:cs="宋体"/>
                <w:sz w:val="20"/>
                <w:szCs w:val="20"/>
              </w:rPr>
            </w:pPr>
            <w:r>
              <w:rPr>
                <w:rFonts w:hint="eastAsia" w:ascii="宋体" w:hAnsi="宋体" w:cs="宋体"/>
                <w:sz w:val="20"/>
                <w:szCs w:val="20"/>
              </w:rPr>
              <w:t>7.桌面虚拟化系统需具有以下性能、状态等综合监控能力: 在桌面虚拟化的管理控制台可以查看每一个虚拟桌面正在运行的进程，可以在后台的管理控制台终止每个虚拟桌面的某个进程。利用自有监控平台可以显示每台虚拟桌面当前CPU/RAM/IOPS（IO队列）/GPU（包含vGPU）使用率信息，帮助管理员了解每个桌面的使用情况；</w:t>
            </w:r>
          </w:p>
          <w:p>
            <w:pPr>
              <w:rPr>
                <w:rFonts w:ascii="宋体" w:hAnsi="宋体" w:cs="宋体"/>
                <w:sz w:val="20"/>
                <w:szCs w:val="20"/>
              </w:rPr>
            </w:pPr>
            <w:r>
              <w:rPr>
                <w:rFonts w:hint="eastAsia" w:ascii="宋体" w:hAnsi="宋体" w:cs="宋体"/>
                <w:sz w:val="20"/>
                <w:szCs w:val="20"/>
              </w:rPr>
              <w:t>8. 平台针对不同管理人员提供不同管理权限，比如系统规划师、系统管理员、HelpDesk等等；支持虚拟桌面的管理员权限下放及分级管理，不同的管理员可以实现对不同的桌面组进行不同权限的管理；</w:t>
            </w:r>
          </w:p>
          <w:p>
            <w:pPr>
              <w:rPr>
                <w:rFonts w:ascii="宋体" w:hAnsi="宋体" w:cs="宋体"/>
                <w:sz w:val="20"/>
                <w:szCs w:val="20"/>
              </w:rPr>
            </w:pPr>
            <w:r>
              <w:rPr>
                <w:rFonts w:hint="eastAsia" w:ascii="宋体" w:hAnsi="宋体" w:cs="宋体"/>
                <w:sz w:val="20"/>
                <w:szCs w:val="20"/>
              </w:rPr>
              <w:t>9.桌面虚拟化系统应具备以下镜像和版本管理功能:1)单一镜像管理:管理员可以隔离设备、操作系统、应用和用户个性化设置，保存每个设备、操作系统、应用及用户个性化设置的单一主镜像。2)提供集成的配置文件管理功能:可以捕获用户的个性化应用设置。管理员可以将操作系统的个人配置文件、应用、系统和个人数据空间进行任意的组合和更换，保证在更新桌面、应用或者重新推送桌面时，用户的个人信息不会被丢失，这个操作在桌面平台控制器中可以进行统一的管理；</w:t>
            </w:r>
          </w:p>
          <w:p>
            <w:pPr>
              <w:rPr>
                <w:rFonts w:ascii="宋体" w:hAnsi="宋体" w:cs="宋体"/>
                <w:sz w:val="20"/>
                <w:szCs w:val="20"/>
              </w:rPr>
            </w:pPr>
            <w:r>
              <w:rPr>
                <w:rFonts w:hint="eastAsia" w:ascii="宋体" w:hAnsi="宋体" w:cs="宋体"/>
                <w:sz w:val="20"/>
                <w:szCs w:val="20"/>
              </w:rPr>
              <w:t>10. 提供进程黑、白名单，方便管理员对于对虚拟桌面系统有异常影响或不符合规定的应用程序进行运行；</w:t>
            </w:r>
          </w:p>
          <w:p>
            <w:pPr>
              <w:rPr>
                <w:rFonts w:ascii="宋体" w:hAnsi="宋体" w:cs="宋体"/>
                <w:sz w:val="20"/>
                <w:szCs w:val="20"/>
              </w:rPr>
            </w:pPr>
            <w:r>
              <w:rPr>
                <w:rFonts w:hint="eastAsia" w:ascii="宋体" w:hAnsi="宋体" w:cs="宋体"/>
                <w:sz w:val="20"/>
                <w:szCs w:val="20"/>
              </w:rPr>
              <w:t>11.支持设置速率和百分比来控制虚拟桌面协议对打印、文件复制、USB设备、COM设备的带宽占用大小，优先保证用户体验；</w:t>
            </w:r>
          </w:p>
          <w:p>
            <w:pPr>
              <w:rPr>
                <w:rFonts w:ascii="宋体" w:hAnsi="宋体" w:cs="宋体"/>
                <w:sz w:val="20"/>
                <w:szCs w:val="20"/>
              </w:rPr>
            </w:pPr>
            <w:r>
              <w:rPr>
                <w:rFonts w:hint="eastAsia" w:ascii="宋体" w:hAnsi="宋体" w:cs="宋体"/>
                <w:sz w:val="20"/>
                <w:szCs w:val="20"/>
              </w:rPr>
              <w:t>12.虚拟桌面技术可以大幅度提高磁盘的性能，可以将云桌面分布在各个服务器磁盘中，单个虚拟桌面磁盘性能的读取性能可达1.5W IOPS；</w:t>
            </w:r>
          </w:p>
          <w:p>
            <w:pPr>
              <w:rPr>
                <w:rFonts w:ascii="宋体" w:hAnsi="宋体" w:cs="宋体"/>
                <w:sz w:val="20"/>
                <w:szCs w:val="20"/>
              </w:rPr>
            </w:pPr>
            <w:r>
              <w:rPr>
                <w:rFonts w:hint="eastAsia" w:ascii="宋体" w:hAnsi="宋体" w:cs="宋体"/>
                <w:sz w:val="20"/>
                <w:szCs w:val="20"/>
              </w:rPr>
              <w:t>13.支持开放的服务器虚拟化平台(vSphere，XenServer，Hyper-v，Acropolis)并支持虚拟机批量制备。同时支持Citrix、Microsoft、VMware和Nutanix多个厂商服务器虚拟化平台，实现与原服务器虚拟化集成，同时提供随时扩展或更改基础架构的灵活性；</w:t>
            </w:r>
          </w:p>
          <w:p>
            <w:pPr>
              <w:rPr>
                <w:rFonts w:ascii="宋体" w:hAnsi="宋体" w:cs="宋体"/>
                <w:sz w:val="20"/>
                <w:szCs w:val="20"/>
              </w:rPr>
            </w:pPr>
            <w:r>
              <w:rPr>
                <w:rFonts w:hint="eastAsia" w:ascii="宋体" w:hAnsi="宋体" w:cs="宋体"/>
                <w:sz w:val="20"/>
                <w:szCs w:val="20"/>
              </w:rPr>
              <w:t>14.支持Nvidia 虚拟GPU K260Q/K240Q/K220Q/K140Q/K120Q/K1/K2/M10/M60，支持运行图形运算函数库OpenGL4.4.DirectX 11，要求单块物理GPU显卡最大64个虚拟桌面同时使用并且保证每个虚拟桌面是独立GPU资源；</w:t>
            </w:r>
          </w:p>
          <w:p>
            <w:pPr>
              <w:rPr>
                <w:rFonts w:ascii="宋体" w:hAnsi="宋体" w:cs="宋体"/>
                <w:sz w:val="20"/>
                <w:szCs w:val="20"/>
              </w:rPr>
            </w:pPr>
            <w:r>
              <w:rPr>
                <w:rFonts w:hint="eastAsia" w:ascii="宋体" w:hAnsi="宋体" w:cs="宋体"/>
                <w:sz w:val="20"/>
                <w:szCs w:val="20"/>
              </w:rPr>
              <w:t>15. 支持Intel Iris Pro 显卡透传及显卡虚拟化Intel GVT-G技术。支持AMD显卡虚拟化技术MxGPU，支持FirePro™ S-系列显卡；</w:t>
            </w:r>
          </w:p>
          <w:p>
            <w:pPr>
              <w:rPr>
                <w:rFonts w:ascii="宋体" w:hAnsi="宋体" w:cs="宋体"/>
                <w:sz w:val="20"/>
                <w:szCs w:val="20"/>
              </w:rPr>
            </w:pPr>
            <w:r>
              <w:rPr>
                <w:rFonts w:hint="eastAsia" w:ascii="宋体" w:hAnsi="宋体" w:cs="宋体"/>
                <w:sz w:val="20"/>
                <w:szCs w:val="20"/>
              </w:rPr>
              <w:t>16.访问云桌面时，当网络情况不佳时（延时150ms、丢包率20%以上时），可以继续使用桌面，不中断；</w:t>
            </w:r>
          </w:p>
          <w:p>
            <w:pPr>
              <w:rPr>
                <w:rFonts w:ascii="宋体" w:hAnsi="宋体" w:cs="宋体"/>
                <w:sz w:val="20"/>
                <w:szCs w:val="20"/>
              </w:rPr>
            </w:pPr>
            <w:r>
              <w:rPr>
                <w:rFonts w:hint="eastAsia" w:ascii="宋体" w:hAnsi="宋体" w:cs="宋体"/>
                <w:sz w:val="20"/>
                <w:szCs w:val="20"/>
              </w:rPr>
              <w:t>17.提供桌面虚拟化软件底层的核心源代码，以满足二次开发需求；</w:t>
            </w:r>
          </w:p>
          <w:p>
            <w:pPr>
              <w:rPr>
                <w:rFonts w:ascii="宋体" w:hAnsi="宋体" w:cs="宋体"/>
                <w:sz w:val="20"/>
                <w:szCs w:val="20"/>
              </w:rPr>
            </w:pPr>
            <w:r>
              <w:rPr>
                <w:rFonts w:hint="eastAsia" w:ascii="宋体" w:hAnsi="宋体" w:cs="宋体"/>
                <w:sz w:val="20"/>
                <w:szCs w:val="20"/>
              </w:rPr>
              <w:t>18.支持将本地终端的应用程序推送到虚拟桌面中直接使用，无需在桌面虚拟化里进行二次安装。支持在桌面云中无需安装输入法，透传使用本地终端上使用的任意输入法；</w:t>
            </w:r>
          </w:p>
          <w:p>
            <w:pPr>
              <w:rPr>
                <w:rFonts w:ascii="宋体" w:hAnsi="宋体" w:cs="宋体"/>
                <w:sz w:val="20"/>
                <w:szCs w:val="20"/>
              </w:rPr>
            </w:pPr>
            <w:r>
              <w:rPr>
                <w:rFonts w:hint="eastAsia" w:ascii="宋体" w:hAnsi="宋体" w:cs="宋体"/>
                <w:sz w:val="20"/>
                <w:szCs w:val="20"/>
              </w:rPr>
              <w:t>19.当用户通过互联网或4G访问虚拟桌面时支持电子证书和用户密码双认证。</w:t>
            </w:r>
          </w:p>
          <w:p>
            <w:pPr>
              <w:rPr>
                <w:rFonts w:ascii="宋体" w:hAnsi="宋体" w:cs="宋体"/>
                <w:sz w:val="20"/>
                <w:szCs w:val="20"/>
              </w:rPr>
            </w:pPr>
            <w:r>
              <w:rPr>
                <w:rFonts w:hint="eastAsia" w:ascii="宋体" w:hAnsi="宋体" w:cs="宋体"/>
                <w:sz w:val="20"/>
                <w:szCs w:val="20"/>
              </w:rPr>
              <w:t>20.桌面虚拟化支持分布式架构，每个虚拟桌面的C盘所有I/O都在固态硬盘上运行，切底消除因缓冲不命中造成的I/O性能下降，每个用户的个人数据存放在机械硬件或存储设备上，从而使用每个虚拟桌面的系统I/O与用户个人数据I/O分离，当某台物理服务器因硬件故障停机后，用户可以重连接到自己的虚拟桌面并在登录虚拟桌面时加载原来的WINDOWS的个人配置文件、应用软件及用户的人个数据盘等；</w:t>
            </w:r>
          </w:p>
          <w:p>
            <w:pPr>
              <w:rPr>
                <w:rFonts w:ascii="宋体" w:hAnsi="宋体" w:cs="宋体"/>
                <w:sz w:val="20"/>
                <w:szCs w:val="20"/>
              </w:rPr>
            </w:pPr>
            <w:r>
              <w:rPr>
                <w:rFonts w:hint="eastAsia" w:ascii="宋体" w:hAnsi="宋体" w:cs="宋体"/>
                <w:sz w:val="20"/>
                <w:szCs w:val="20"/>
              </w:rPr>
              <w:t>21.在一台21.5寸显示器上全屏操作一个在虚拟桌面中基于文本的操作对网络带宽的占用要小于30KB（字节），一个虚拟桌面中流畅播放1080P的视频网络带宽的占用小于500KB（字节）；</w:t>
            </w:r>
          </w:p>
          <w:p>
            <w:pPr>
              <w:rPr>
                <w:rFonts w:ascii="宋体" w:hAnsi="宋体" w:cs="宋体"/>
                <w:sz w:val="20"/>
                <w:szCs w:val="20"/>
              </w:rPr>
            </w:pPr>
            <w:r>
              <w:rPr>
                <w:rFonts w:hint="eastAsia" w:ascii="宋体" w:hAnsi="宋体" w:cs="宋体"/>
                <w:sz w:val="20"/>
                <w:szCs w:val="20"/>
              </w:rPr>
              <w:t>22.支持iPad和Andriod平板电脑的蓝牙键盘、鼠标访问并操作虚拟桌面，可将iPad和Andriod平板快速变成Windows PC来使用；</w:t>
            </w:r>
          </w:p>
          <w:p>
            <w:pPr>
              <w:rPr>
                <w:rFonts w:ascii="宋体" w:hAnsi="宋体" w:cs="宋体"/>
                <w:sz w:val="20"/>
                <w:szCs w:val="20"/>
              </w:rPr>
            </w:pPr>
            <w:r>
              <w:rPr>
                <w:rFonts w:hint="eastAsia" w:ascii="宋体" w:hAnsi="宋体" w:cs="宋体"/>
                <w:sz w:val="20"/>
                <w:szCs w:val="20"/>
              </w:rPr>
              <w:t>23.桌面虚拟化系统支持GPU实时热迁移（无需暂停、挂起虚拟桌面），保证教师3D桌面的可靠性；</w:t>
            </w:r>
          </w:p>
          <w:p>
            <w:pPr>
              <w:widowControl/>
              <w:jc w:val="left"/>
              <w:textAlignment w:val="center"/>
              <w:rPr>
                <w:rFonts w:ascii="宋体" w:hAnsi="宋体" w:cs="宋体"/>
                <w:color w:val="000000"/>
                <w:kern w:val="0"/>
                <w:sz w:val="20"/>
                <w:szCs w:val="20"/>
                <w:lang w:bidi="ar"/>
              </w:rPr>
            </w:pPr>
            <w:r>
              <w:rPr>
                <w:rFonts w:hint="eastAsia" w:ascii="宋体" w:hAnsi="宋体" w:cs="宋体"/>
                <w:sz w:val="20"/>
                <w:szCs w:val="20"/>
              </w:rPr>
              <w:t>24.需与原有桌面平台软件无缝对接</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点</w:t>
            </w:r>
          </w:p>
        </w:tc>
        <w:tc>
          <w:tcPr>
            <w:tcW w:w="72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思杰</w:t>
            </w:r>
          </w:p>
        </w:tc>
      </w:tr>
      <w:tr>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服务器UPS电池</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科士达6-FM-100   12V 100AH包含安装辅材</w:t>
            </w:r>
            <w:r>
              <w:rPr>
                <w:rFonts w:hint="eastAsia" w:ascii="宋体" w:hAnsi="宋体" w:cs="宋体"/>
                <w:color w:val="000000"/>
                <w:sz w:val="20"/>
                <w:szCs w:val="20"/>
              </w:rPr>
              <w:t xml:space="preserve"> </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64</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只</w:t>
            </w:r>
          </w:p>
        </w:tc>
        <w:tc>
          <w:tcPr>
            <w:tcW w:w="72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科士达</w:t>
            </w:r>
          </w:p>
        </w:tc>
      </w:tr>
      <w:tr>
        <w:tblPrEx>
          <w:tblCellMar>
            <w:top w:w="0" w:type="dxa"/>
            <w:left w:w="108" w:type="dxa"/>
            <w:bottom w:w="0" w:type="dxa"/>
            <w:right w:w="108" w:type="dxa"/>
          </w:tblCellMar>
        </w:tblPrEx>
        <w:trPr>
          <w:trHeight w:val="44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网络交换机</w:t>
            </w:r>
          </w:p>
        </w:tc>
        <w:tc>
          <w:tcPr>
            <w:tcW w:w="2836" w:type="pct"/>
            <w:gridSpan w:val="2"/>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cs="宋体"/>
                <w:sz w:val="20"/>
                <w:szCs w:val="20"/>
              </w:rPr>
            </w:pPr>
            <w:r>
              <w:rPr>
                <w:rFonts w:hint="eastAsia" w:ascii="宋体" w:hAnsi="宋体" w:cs="宋体"/>
                <w:color w:val="000000"/>
                <w:kern w:val="0"/>
                <w:sz w:val="20"/>
                <w:szCs w:val="20"/>
                <w:lang w:bidi="ar"/>
              </w:rPr>
              <w:t>H3C S5500V3-24P-SI</w:t>
            </w:r>
            <w:r>
              <w:rPr>
                <w:rFonts w:hint="eastAsia" w:ascii="宋体" w:hAnsi="宋体" w:cs="宋体"/>
                <w:sz w:val="20"/>
                <w:szCs w:val="20"/>
              </w:rPr>
              <w:t xml:space="preserve"> </w:t>
            </w:r>
          </w:p>
        </w:tc>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2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台</w:t>
            </w:r>
          </w:p>
        </w:tc>
        <w:tc>
          <w:tcPr>
            <w:tcW w:w="728" w:type="pct"/>
            <w:gridSpan w:val="2"/>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宋体" w:hAnsi="宋体" w:cs="宋体"/>
                <w:color w:val="000000"/>
                <w:kern w:val="0"/>
                <w:sz w:val="20"/>
                <w:szCs w:val="20"/>
                <w:lang w:bidi="ar"/>
              </w:rPr>
            </w:pPr>
            <w:r>
              <w:rPr>
                <w:rStyle w:val="47"/>
                <w:rFonts w:hint="eastAsia" w:ascii="宋体" w:hAnsi="宋体" w:cs="宋体"/>
                <w:color w:val="000000" w:themeColor="text1"/>
                <w:sz w:val="20"/>
                <w:szCs w:val="20"/>
              </w:rPr>
              <w:t>H3C</w:t>
            </w:r>
          </w:p>
        </w:tc>
      </w:tr>
    </w:tbl>
    <w:p>
      <w:pPr>
        <w:widowControl/>
        <w:jc w:val="left"/>
        <w:rPr>
          <w:rStyle w:val="203"/>
          <w:rFonts w:ascii="宋体" w:hAnsi="宋体" w:cs="宋体"/>
          <w:color w:val="000000"/>
          <w:sz w:val="20"/>
          <w:szCs w:val="20"/>
        </w:rPr>
      </w:pPr>
    </w:p>
    <w:p>
      <w:pPr>
        <w:widowControl/>
        <w:spacing w:line="360" w:lineRule="atLeast"/>
        <w:jc w:val="center"/>
        <w:rPr>
          <w:rFonts w:hint="eastAsia" w:asciiTheme="minorEastAsia" w:hAnsiTheme="minorEastAsia" w:eastAsiaTheme="minorEastAsia"/>
          <w:bCs/>
          <w:lang w:val="en-US" w:eastAsia="zh-CN"/>
        </w:rPr>
      </w:pPr>
      <w:r>
        <w:rPr>
          <w:rFonts w:hint="eastAsia" w:asciiTheme="minorEastAsia" w:hAnsiTheme="minorEastAsia" w:eastAsiaTheme="minorEastAsia"/>
          <w:bCs/>
          <w:lang w:val="en-US" w:eastAsia="zh-CN"/>
        </w:rPr>
        <w:t>1221电脑布局图（仅供参考）</w:t>
      </w:r>
    </w:p>
    <w:p>
      <w:pPr>
        <w:widowControl/>
        <w:spacing w:line="360" w:lineRule="atLeast"/>
        <w:jc w:val="center"/>
        <w:rPr>
          <w:rFonts w:ascii="宋体" w:hAnsi="宋体"/>
        </w:rPr>
      </w:pPr>
      <w:r>
        <w:drawing>
          <wp:inline distT="0" distB="0" distL="114300" distR="114300">
            <wp:extent cx="4019550" cy="3281680"/>
            <wp:effectExtent l="0" t="0" r="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019550" cy="3281680"/>
                    </a:xfrm>
                    <a:prstGeom prst="rect">
                      <a:avLst/>
                    </a:prstGeom>
                    <a:noFill/>
                    <a:ln>
                      <a:noFill/>
                    </a:ln>
                  </pic:spPr>
                </pic:pic>
              </a:graphicData>
            </a:graphic>
          </wp:inline>
        </w:drawing>
      </w:r>
    </w:p>
    <w:p>
      <w:pPr>
        <w:spacing w:line="500" w:lineRule="exact"/>
        <w:ind w:left="480" w:leftChars="200" w:firstLine="496" w:firstLineChars="207"/>
        <w:jc w:val="center"/>
        <w:rPr>
          <w:rFonts w:hint="default" w:ascii="宋体" w:hAnsi="宋体" w:eastAsia="宋体"/>
          <w:lang w:val="en-US" w:eastAsia="zh-CN"/>
        </w:rPr>
      </w:pPr>
      <w:r>
        <w:rPr>
          <w:rFonts w:hint="eastAsia" w:ascii="宋体" w:hAnsi="宋体"/>
          <w:lang w:val="en-US" w:eastAsia="zh-CN"/>
        </w:rPr>
        <w:t>1217电脑布局图（仅供参考）</w:t>
      </w:r>
    </w:p>
    <w:p>
      <w:pPr>
        <w:spacing w:line="500" w:lineRule="exact"/>
        <w:ind w:left="480" w:leftChars="200" w:firstLine="480" w:firstLineChars="200"/>
        <w:rPr>
          <w:rFonts w:ascii="宋体" w:hAnsi="宋体" w:cs="Courier New"/>
          <w:szCs w:val="24"/>
        </w:rPr>
      </w:pPr>
      <w:r>
        <w:drawing>
          <wp:anchor distT="0" distB="0" distL="114300" distR="114300" simplePos="0" relativeHeight="251659264" behindDoc="1" locked="0" layoutInCell="1" allowOverlap="1">
            <wp:simplePos x="0" y="0"/>
            <wp:positionH relativeFrom="column">
              <wp:posOffset>577215</wp:posOffset>
            </wp:positionH>
            <wp:positionV relativeFrom="paragraph">
              <wp:posOffset>156845</wp:posOffset>
            </wp:positionV>
            <wp:extent cx="4145915" cy="3025775"/>
            <wp:effectExtent l="0" t="0" r="6985" b="3175"/>
            <wp:wrapTight wrapText="bothSides">
              <wp:wrapPolygon>
                <wp:start x="0" y="0"/>
                <wp:lineTo x="0" y="21487"/>
                <wp:lineTo x="21537" y="21487"/>
                <wp:lineTo x="2153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145915" cy="3025775"/>
                    </a:xfrm>
                    <a:prstGeom prst="rect">
                      <a:avLst/>
                    </a:prstGeom>
                    <a:noFill/>
                    <a:ln>
                      <a:noFill/>
                    </a:ln>
                  </pic:spPr>
                </pic:pic>
              </a:graphicData>
            </a:graphic>
          </wp:anchor>
        </w:drawing>
      </w: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ind w:left="480" w:leftChars="200" w:firstLine="480" w:firstLineChars="200"/>
        <w:rPr>
          <w:rFonts w:ascii="宋体" w:hAnsi="宋体" w:cs="Courier New"/>
          <w:szCs w:val="24"/>
        </w:rPr>
      </w:pPr>
    </w:p>
    <w:p>
      <w:pPr>
        <w:spacing w:line="500" w:lineRule="exact"/>
        <w:rPr>
          <w:rFonts w:ascii="宋体" w:hAnsi="宋体" w:cs="Courier New"/>
          <w:szCs w:val="24"/>
        </w:rPr>
      </w:pPr>
    </w:p>
    <w:p>
      <w:pPr>
        <w:pStyle w:val="2"/>
        <w:numPr>
          <w:ilvl w:val="0"/>
          <w:numId w:val="0"/>
        </w:numPr>
        <w:jc w:val="center"/>
        <w:rPr>
          <w:rFonts w:hint="eastAsia" w:ascii="宋体" w:hAnsi="宋体" w:eastAsia="宋体" w:cstheme="minorBidi"/>
          <w:b w:val="0"/>
          <w:bCs w:val="0"/>
          <w:kern w:val="2"/>
          <w:sz w:val="24"/>
          <w:szCs w:val="22"/>
          <w:lang w:val="en-US" w:eastAsia="zh-CN" w:bidi="ar-SA"/>
        </w:rPr>
      </w:pPr>
      <w:bookmarkStart w:id="284" w:name="_Toc531594798"/>
      <w:r>
        <w:rPr>
          <w:rFonts w:hint="eastAsia" w:ascii="宋体" w:hAnsi="宋体" w:eastAsia="宋体" w:cstheme="minorBidi"/>
          <w:b w:val="0"/>
          <w:bCs w:val="0"/>
          <w:kern w:val="2"/>
          <w:sz w:val="24"/>
          <w:szCs w:val="22"/>
          <w:lang w:val="en-US" w:eastAsia="zh-CN" w:bidi="ar-SA"/>
        </w:rPr>
        <w:t>1219电脑布局图</w:t>
      </w:r>
      <w:r>
        <w:rPr>
          <w:rFonts w:hint="eastAsia" w:ascii="宋体" w:hAnsi="宋体" w:cstheme="minorBidi"/>
          <w:b w:val="0"/>
          <w:bCs w:val="0"/>
          <w:kern w:val="2"/>
          <w:sz w:val="24"/>
          <w:szCs w:val="22"/>
          <w:lang w:val="en-US" w:eastAsia="zh-CN" w:bidi="ar-SA"/>
        </w:rPr>
        <w:t>（仅供参考）</w:t>
      </w:r>
    </w:p>
    <w:p>
      <w:pPr>
        <w:jc w:val="center"/>
        <w:rPr>
          <w:rFonts w:hint="default"/>
          <w:lang w:val="en-US" w:eastAsia="zh-CN"/>
        </w:rPr>
      </w:pPr>
      <w:r>
        <w:drawing>
          <wp:inline distT="0" distB="0" distL="114300" distR="114300">
            <wp:extent cx="4248785" cy="2884170"/>
            <wp:effectExtent l="0" t="0" r="1841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248785" cy="2884170"/>
                    </a:xfrm>
                    <a:prstGeom prst="rect">
                      <a:avLst/>
                    </a:prstGeom>
                    <a:noFill/>
                    <a:ln>
                      <a:noFill/>
                    </a:ln>
                  </pic:spPr>
                </pic:pic>
              </a:graphicData>
            </a:graphic>
          </wp:inline>
        </w:drawing>
      </w:r>
    </w:p>
    <w:p>
      <w:pPr>
        <w:pStyle w:val="2"/>
        <w:numPr>
          <w:ilvl w:val="0"/>
          <w:numId w:val="0"/>
        </w:numPr>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科教城18C-704电脑布局图</w:t>
      </w:r>
    </w:p>
    <w:p>
      <w:pPr>
        <w:jc w:val="center"/>
        <w:rPr>
          <w:rFonts w:hint="default"/>
          <w:lang w:val="en-US" w:eastAsia="zh-CN"/>
        </w:rPr>
      </w:pPr>
      <w:r>
        <w:drawing>
          <wp:inline distT="0" distB="0" distL="114300" distR="114300">
            <wp:extent cx="4274820" cy="3316605"/>
            <wp:effectExtent l="0" t="0" r="11430" b="171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274820" cy="3316605"/>
                    </a:xfrm>
                    <a:prstGeom prst="rect">
                      <a:avLst/>
                    </a:prstGeom>
                    <a:noFill/>
                    <a:ln>
                      <a:noFill/>
                    </a:ln>
                  </pic:spPr>
                </pic:pic>
              </a:graphicData>
            </a:graphic>
          </wp:inline>
        </w:drawing>
      </w:r>
    </w:p>
    <w:p>
      <w:pPr>
        <w:pStyle w:val="2"/>
        <w:numPr>
          <w:ilvl w:val="0"/>
          <w:numId w:val="0"/>
        </w:numPr>
        <w:jc w:val="both"/>
        <w:rPr>
          <w:rFonts w:hint="eastAsia" w:ascii="仿宋" w:hAnsi="仿宋" w:eastAsia="仿宋" w:cs="仿宋"/>
          <w:sz w:val="44"/>
          <w:szCs w:val="44"/>
        </w:rPr>
      </w:pPr>
    </w:p>
    <w:p>
      <w:pPr>
        <w:rPr>
          <w:rFonts w:hint="eastAsia" w:ascii="仿宋" w:hAnsi="仿宋" w:eastAsia="仿宋" w:cs="仿宋"/>
          <w:sz w:val="44"/>
          <w:szCs w:val="44"/>
        </w:rPr>
      </w:pPr>
    </w:p>
    <w:p>
      <w:pPr>
        <w:rPr>
          <w:rFonts w:hint="eastAsia" w:ascii="仿宋" w:hAnsi="仿宋" w:eastAsia="仿宋" w:cs="仿宋"/>
          <w:sz w:val="44"/>
          <w:szCs w:val="44"/>
        </w:rPr>
      </w:pPr>
    </w:p>
    <w:p>
      <w:pPr>
        <w:rPr>
          <w:rFonts w:hint="eastAsia" w:ascii="仿宋" w:hAnsi="仿宋" w:eastAsia="仿宋" w:cs="仿宋"/>
          <w:sz w:val="44"/>
          <w:szCs w:val="44"/>
        </w:rPr>
      </w:pPr>
    </w:p>
    <w:p>
      <w:pPr>
        <w:jc w:val="center"/>
        <w:rPr>
          <w:rFonts w:hint="eastAsia" w:ascii="宋体" w:hAnsi="宋体" w:eastAsia="宋体" w:cstheme="minorBidi"/>
          <w:b w:val="0"/>
          <w:bCs w:val="0"/>
          <w:kern w:val="2"/>
          <w:sz w:val="24"/>
          <w:szCs w:val="22"/>
          <w:lang w:val="en-US" w:eastAsia="zh-CN" w:bidi="ar-SA"/>
        </w:rPr>
      </w:pPr>
      <w:r>
        <w:rPr>
          <w:rFonts w:hint="eastAsia" w:ascii="宋体" w:hAnsi="宋体" w:eastAsia="宋体" w:cstheme="minorBidi"/>
          <w:b w:val="0"/>
          <w:bCs w:val="0"/>
          <w:kern w:val="2"/>
          <w:sz w:val="24"/>
          <w:szCs w:val="22"/>
          <w:lang w:val="en-US" w:eastAsia="zh-CN" w:bidi="ar-SA"/>
        </w:rPr>
        <w:t>科教城18C-705布局图（仅供参考）</w:t>
      </w:r>
    </w:p>
    <w:p>
      <w:pPr>
        <w:rPr>
          <w:rFonts w:hint="default" w:ascii="仿宋" w:hAnsi="仿宋" w:eastAsia="仿宋" w:cs="仿宋"/>
          <w:sz w:val="44"/>
          <w:szCs w:val="44"/>
          <w:lang w:val="en-US" w:eastAsia="zh-CN"/>
        </w:rPr>
      </w:pPr>
      <w:r>
        <w:drawing>
          <wp:anchor distT="0" distB="0" distL="114300" distR="114300" simplePos="0" relativeHeight="251660288" behindDoc="0" locked="0" layoutInCell="1" allowOverlap="1">
            <wp:simplePos x="0" y="0"/>
            <wp:positionH relativeFrom="column">
              <wp:posOffset>328295</wp:posOffset>
            </wp:positionH>
            <wp:positionV relativeFrom="paragraph">
              <wp:posOffset>356235</wp:posOffset>
            </wp:positionV>
            <wp:extent cx="4508500" cy="3113405"/>
            <wp:effectExtent l="0" t="0" r="6350" b="1079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4508500" cy="3113405"/>
                    </a:xfrm>
                    <a:prstGeom prst="rect">
                      <a:avLst/>
                    </a:prstGeom>
                    <a:noFill/>
                    <a:ln>
                      <a:noFill/>
                    </a:ln>
                  </pic:spPr>
                </pic:pic>
              </a:graphicData>
            </a:graphic>
          </wp:anchor>
        </w:drawing>
      </w: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rPr>
          <w:rFonts w:hint="default" w:ascii="仿宋" w:hAnsi="仿宋" w:eastAsia="仿宋" w:cs="仿宋"/>
          <w:sz w:val="44"/>
          <w:szCs w:val="44"/>
          <w:lang w:val="en-US" w:eastAsia="zh-CN"/>
        </w:rPr>
      </w:pPr>
    </w:p>
    <w:p>
      <w:pPr>
        <w:jc w:val="center"/>
        <w:rPr>
          <w:rFonts w:hint="eastAsia" w:ascii="仿宋" w:hAnsi="仿宋" w:eastAsia="仿宋" w:cs="仿宋"/>
          <w:sz w:val="44"/>
          <w:szCs w:val="44"/>
        </w:rPr>
      </w:pPr>
      <w:r>
        <w:rPr>
          <w:rFonts w:hint="eastAsia" w:ascii="宋体" w:hAnsi="宋体" w:eastAsia="宋体" w:cstheme="minorBidi"/>
          <w:b w:val="0"/>
          <w:bCs w:val="0"/>
          <w:kern w:val="2"/>
          <w:sz w:val="24"/>
          <w:szCs w:val="22"/>
          <w:lang w:val="en-US" w:eastAsia="zh-CN" w:bidi="ar-SA"/>
        </w:rPr>
        <w:t>科教城18C-70</w:t>
      </w:r>
      <w:r>
        <w:rPr>
          <w:rFonts w:hint="eastAsia" w:ascii="宋体" w:hAnsi="宋体" w:cstheme="minorBidi"/>
          <w:b w:val="0"/>
          <w:bCs w:val="0"/>
          <w:kern w:val="2"/>
          <w:sz w:val="24"/>
          <w:szCs w:val="22"/>
          <w:lang w:val="en-US" w:eastAsia="zh-CN" w:bidi="ar-SA"/>
        </w:rPr>
        <w:t>6</w:t>
      </w:r>
      <w:r>
        <w:rPr>
          <w:rFonts w:hint="eastAsia" w:ascii="宋体" w:hAnsi="宋体" w:eastAsia="宋体" w:cstheme="minorBidi"/>
          <w:b w:val="0"/>
          <w:bCs w:val="0"/>
          <w:kern w:val="2"/>
          <w:sz w:val="24"/>
          <w:szCs w:val="22"/>
          <w:lang w:val="en-US" w:eastAsia="zh-CN" w:bidi="ar-SA"/>
        </w:rPr>
        <w:t>布局图（仅供参考）</w:t>
      </w:r>
      <w:r>
        <w:drawing>
          <wp:anchor distT="0" distB="0" distL="114300" distR="114300" simplePos="0" relativeHeight="251661312" behindDoc="0" locked="0" layoutInCell="1" allowOverlap="1">
            <wp:simplePos x="0" y="0"/>
            <wp:positionH relativeFrom="column">
              <wp:posOffset>338455</wp:posOffset>
            </wp:positionH>
            <wp:positionV relativeFrom="paragraph">
              <wp:posOffset>539750</wp:posOffset>
            </wp:positionV>
            <wp:extent cx="4566285" cy="3136265"/>
            <wp:effectExtent l="0" t="0" r="5715" b="698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4566285" cy="3136265"/>
                    </a:xfrm>
                    <a:prstGeom prst="rect">
                      <a:avLst/>
                    </a:prstGeom>
                    <a:noFill/>
                    <a:ln>
                      <a:noFill/>
                    </a:ln>
                  </pic:spPr>
                </pic:pic>
              </a:graphicData>
            </a:graphic>
          </wp:anchor>
        </w:drawing>
      </w:r>
    </w:p>
    <w:p>
      <w:pPr>
        <w:pStyle w:val="2"/>
        <w:numPr>
          <w:ilvl w:val="0"/>
          <w:numId w:val="0"/>
        </w:numPr>
        <w:spacing w:before="0" w:after="0" w:line="240" w:lineRule="auto"/>
        <w:jc w:val="both"/>
        <w:rPr>
          <w:rFonts w:hint="eastAsia" w:ascii="仿宋" w:hAnsi="仿宋" w:eastAsia="仿宋" w:cs="仿宋"/>
          <w:sz w:val="44"/>
          <w:szCs w:val="44"/>
        </w:rPr>
      </w:pPr>
    </w:p>
    <w:p>
      <w:pPr>
        <w:rPr>
          <w:rFonts w:hint="eastAsia" w:ascii="仿宋" w:hAnsi="仿宋" w:eastAsia="仿宋" w:cs="仿宋"/>
          <w:sz w:val="44"/>
          <w:szCs w:val="44"/>
        </w:rPr>
      </w:pPr>
    </w:p>
    <w:p>
      <w:pPr>
        <w:rPr>
          <w:rFonts w:hint="eastAsia" w:ascii="仿宋" w:hAnsi="仿宋" w:eastAsia="仿宋" w:cs="仿宋"/>
          <w:sz w:val="44"/>
          <w:szCs w:val="44"/>
        </w:rPr>
      </w:pPr>
    </w:p>
    <w:p>
      <w:pPr>
        <w:pStyle w:val="2"/>
        <w:numPr>
          <w:ilvl w:val="0"/>
          <w:numId w:val="0"/>
        </w:numPr>
        <w:spacing w:before="0" w:after="0" w:line="240" w:lineRule="auto"/>
        <w:jc w:val="center"/>
        <w:rPr>
          <w:rFonts w:hint="eastAsia" w:ascii="仿宋" w:hAnsi="仿宋" w:eastAsia="仿宋" w:cs="仿宋"/>
          <w:sz w:val="44"/>
          <w:szCs w:val="44"/>
        </w:rPr>
      </w:pPr>
      <w:r>
        <w:rPr>
          <w:rFonts w:hint="eastAsia" w:ascii="仿宋" w:hAnsi="仿宋" w:eastAsia="仿宋" w:cs="仿宋"/>
          <w:sz w:val="44"/>
          <w:szCs w:val="44"/>
        </w:rPr>
        <w:t>第四章 评</w:t>
      </w:r>
      <w:bookmarkEnd w:id="281"/>
      <w:r>
        <w:rPr>
          <w:rFonts w:hint="eastAsia" w:ascii="仿宋" w:hAnsi="仿宋" w:eastAsia="仿宋" w:cs="仿宋"/>
          <w:sz w:val="44"/>
          <w:szCs w:val="44"/>
        </w:rPr>
        <w:t>标原则</w:t>
      </w:r>
      <w:bookmarkEnd w:id="282"/>
      <w:bookmarkEnd w:id="283"/>
      <w:bookmarkEnd w:id="284"/>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000000"/>
          <w:kern w:val="0"/>
          <w:sz w:val="28"/>
          <w:szCs w:val="28"/>
          <w:lang w:bidi="en-US"/>
        </w:rPr>
      </w:pPr>
      <w:r>
        <w:rPr>
          <w:rFonts w:hint="eastAsia" w:ascii="仿宋" w:hAnsi="仿宋" w:eastAsia="仿宋" w:cs="仿宋"/>
          <w:bCs/>
          <w:color w:val="000000"/>
          <w:kern w:val="0"/>
          <w:sz w:val="28"/>
          <w:szCs w:val="28"/>
          <w:lang w:bidi="en-US"/>
        </w:rPr>
        <w:t>在满足招标文件要求的条件下，根据有效投标文件的报价、增值服务、售后保障等因素综合评定确定中标单位。</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189"/>
        <w:gridCol w:w="750"/>
        <w:gridCol w:w="51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8" w:type="dxa"/>
            <w:vAlign w:val="center"/>
          </w:tcPr>
          <w:p>
            <w:pPr>
              <w:pStyle w:val="206"/>
              <w:spacing w:after="120"/>
              <w:ind w:firstLine="0" w:firstLineChars="0"/>
              <w:rPr>
                <w:rFonts w:hint="eastAsia" w:ascii="宋体" w:hAnsi="宋体" w:eastAsia="宋体" w:cs="宋体"/>
                <w:spacing w:val="0"/>
                <w:sz w:val="20"/>
                <w:szCs w:val="20"/>
              </w:rPr>
            </w:pPr>
            <w:bookmarkStart w:id="285" w:name="_Toc474419361"/>
            <w:bookmarkStart w:id="286" w:name="_Toc217446059"/>
            <w:r>
              <w:rPr>
                <w:rFonts w:hint="eastAsia" w:ascii="宋体" w:hAnsi="宋体" w:eastAsia="宋体" w:cs="宋体"/>
                <w:spacing w:val="0"/>
                <w:sz w:val="20"/>
                <w:szCs w:val="20"/>
              </w:rPr>
              <w:t>序号</w:t>
            </w:r>
          </w:p>
        </w:tc>
        <w:tc>
          <w:tcPr>
            <w:tcW w:w="1189" w:type="dxa"/>
            <w:vAlign w:val="center"/>
          </w:tcPr>
          <w:p>
            <w:pPr>
              <w:pStyle w:val="206"/>
              <w:spacing w:after="120"/>
              <w:ind w:firstLine="0" w:firstLineChars="0"/>
              <w:jc w:val="center"/>
              <w:rPr>
                <w:rFonts w:hint="eastAsia" w:ascii="宋体" w:hAnsi="宋体" w:eastAsia="宋体" w:cs="宋体"/>
                <w:spacing w:val="0"/>
                <w:sz w:val="20"/>
                <w:szCs w:val="20"/>
              </w:rPr>
            </w:pPr>
            <w:r>
              <w:rPr>
                <w:rFonts w:hint="eastAsia" w:ascii="宋体" w:hAnsi="宋体" w:eastAsia="宋体" w:cs="宋体"/>
                <w:spacing w:val="0"/>
                <w:sz w:val="20"/>
                <w:szCs w:val="20"/>
              </w:rPr>
              <w:t>评分因素及权重</w:t>
            </w:r>
          </w:p>
        </w:tc>
        <w:tc>
          <w:tcPr>
            <w:tcW w:w="750"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分值</w:t>
            </w:r>
          </w:p>
        </w:tc>
        <w:tc>
          <w:tcPr>
            <w:tcW w:w="5141"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评分标准</w:t>
            </w:r>
          </w:p>
        </w:tc>
        <w:tc>
          <w:tcPr>
            <w:tcW w:w="1425" w:type="dxa"/>
          </w:tcPr>
          <w:p>
            <w:pPr>
              <w:pStyle w:val="206"/>
              <w:spacing w:after="120"/>
              <w:ind w:firstLine="0" w:firstLineChars="0"/>
              <w:jc w:val="center"/>
              <w:rPr>
                <w:rFonts w:hint="eastAsia" w:ascii="宋体" w:hAnsi="宋体" w:eastAsia="宋体" w:cs="宋体"/>
                <w:spacing w:val="0"/>
                <w:sz w:val="20"/>
                <w:szCs w:val="20"/>
              </w:rPr>
            </w:pPr>
            <w:r>
              <w:rPr>
                <w:rFonts w:hint="eastAsia" w:ascii="宋体" w:hAnsi="宋体" w:eastAsia="宋体" w:cs="宋体"/>
                <w:spacing w:val="0"/>
                <w:sz w:val="20"/>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经济部分30%</w:t>
            </w:r>
          </w:p>
        </w:tc>
        <w:tc>
          <w:tcPr>
            <w:tcW w:w="1189" w:type="dxa"/>
            <w:vAlign w:val="center"/>
          </w:tcPr>
          <w:p>
            <w:pPr>
              <w:pStyle w:val="206"/>
              <w:spacing w:after="120"/>
              <w:ind w:firstLine="0" w:firstLineChars="0"/>
              <w:jc w:val="center"/>
              <w:rPr>
                <w:rFonts w:hint="eastAsia" w:ascii="宋体" w:hAnsi="宋体" w:eastAsia="宋体" w:cs="宋体"/>
                <w:spacing w:val="0"/>
                <w:sz w:val="20"/>
                <w:szCs w:val="20"/>
              </w:rPr>
            </w:pPr>
            <w:r>
              <w:rPr>
                <w:rFonts w:hint="eastAsia" w:ascii="宋体" w:hAnsi="宋体" w:eastAsia="宋体" w:cs="宋体"/>
                <w:spacing w:val="0"/>
                <w:sz w:val="20"/>
                <w:szCs w:val="20"/>
              </w:rPr>
              <w:t>投标报价30%</w:t>
            </w:r>
          </w:p>
        </w:tc>
        <w:tc>
          <w:tcPr>
            <w:tcW w:w="750" w:type="dxa"/>
            <w:vAlign w:val="center"/>
          </w:tcPr>
          <w:p>
            <w:pPr>
              <w:pStyle w:val="206"/>
              <w:spacing w:after="120"/>
              <w:ind w:firstLine="0" w:firstLineChars="0"/>
              <w:rPr>
                <w:rFonts w:hint="eastAsia" w:ascii="宋体" w:hAnsi="宋体" w:eastAsia="宋体" w:cs="宋体"/>
                <w:sz w:val="20"/>
                <w:szCs w:val="20"/>
              </w:rPr>
            </w:pPr>
            <w:r>
              <w:rPr>
                <w:rFonts w:hint="eastAsia" w:ascii="宋体" w:hAnsi="宋体" w:eastAsia="宋体" w:cs="宋体"/>
                <w:sz w:val="20"/>
                <w:szCs w:val="20"/>
              </w:rPr>
              <w:t>30分</w:t>
            </w:r>
          </w:p>
        </w:tc>
        <w:tc>
          <w:tcPr>
            <w:tcW w:w="5141" w:type="dxa"/>
            <w:vAlign w:val="center"/>
          </w:tcPr>
          <w:p>
            <w:pPr>
              <w:spacing w:line="240" w:lineRule="atLeast"/>
              <w:jc w:val="left"/>
              <w:rPr>
                <w:rFonts w:hint="eastAsia" w:ascii="宋体" w:hAnsi="宋体" w:eastAsia="宋体" w:cs="宋体"/>
                <w:snapToGrid w:val="0"/>
                <w:spacing w:val="4"/>
                <w:kern w:val="0"/>
                <w:sz w:val="20"/>
                <w:szCs w:val="20"/>
              </w:rPr>
            </w:pPr>
            <w:r>
              <w:rPr>
                <w:rFonts w:hint="eastAsia" w:ascii="宋体" w:hAnsi="宋体" w:eastAsia="宋体" w:cs="宋体"/>
                <w:snapToGrid w:val="0"/>
                <w:spacing w:val="4"/>
                <w:kern w:val="0"/>
                <w:sz w:val="20"/>
                <w:szCs w:val="20"/>
              </w:rPr>
              <w:t>有效的投标报价中的最低价为评标基准价，按照下列公式计算每个投标人的投标价格得分。</w:t>
            </w:r>
          </w:p>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z w:val="20"/>
                <w:szCs w:val="20"/>
              </w:rPr>
              <w:t>投标报价得分＝（评标基准价/投标报价）×价格权重×100%</w:t>
            </w:r>
          </w:p>
        </w:tc>
        <w:tc>
          <w:tcPr>
            <w:tcW w:w="1425" w:type="dxa"/>
          </w:tcPr>
          <w:p>
            <w:pPr>
              <w:pStyle w:val="206"/>
              <w:spacing w:after="120"/>
              <w:ind w:firstLine="0" w:firstLineChars="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88" w:type="dxa"/>
            <w:vMerge w:val="restart"/>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技术部分45%</w:t>
            </w:r>
          </w:p>
        </w:tc>
        <w:tc>
          <w:tcPr>
            <w:tcW w:w="1189" w:type="dxa"/>
            <w:vMerge w:val="restart"/>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技术指标响应45%</w:t>
            </w:r>
          </w:p>
        </w:tc>
        <w:tc>
          <w:tcPr>
            <w:tcW w:w="5891" w:type="dxa"/>
            <w:gridSpan w:val="2"/>
            <w:vAlign w:val="center"/>
          </w:tcPr>
          <w:p>
            <w:pPr>
              <w:pStyle w:val="206"/>
              <w:spacing w:after="120"/>
              <w:ind w:firstLine="0" w:firstLineChars="0"/>
              <w:rPr>
                <w:rFonts w:hint="eastAsia" w:ascii="宋体" w:hAnsi="宋体" w:eastAsia="宋体" w:cs="宋体"/>
                <w:sz w:val="20"/>
                <w:szCs w:val="20"/>
              </w:rPr>
            </w:pPr>
            <w:r>
              <w:rPr>
                <w:rFonts w:hint="eastAsia" w:ascii="宋体" w:hAnsi="宋体" w:eastAsia="宋体" w:cs="宋体"/>
                <w:sz w:val="20"/>
                <w:szCs w:val="20"/>
              </w:rPr>
              <w:t>技术部分得分为零的投标人将失去中标候选人资格</w:t>
            </w:r>
          </w:p>
        </w:tc>
        <w:tc>
          <w:tcPr>
            <w:tcW w:w="1425" w:type="dxa"/>
          </w:tcPr>
          <w:p>
            <w:pPr>
              <w:pStyle w:val="206"/>
              <w:spacing w:after="120"/>
              <w:ind w:firstLine="0" w:firstLineChars="0"/>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vMerge w:val="continue"/>
            <w:vAlign w:val="center"/>
          </w:tcPr>
          <w:p>
            <w:pPr>
              <w:pStyle w:val="206"/>
              <w:spacing w:after="120"/>
              <w:ind w:firstLine="166" w:firstLineChars="83"/>
              <w:rPr>
                <w:rFonts w:hint="eastAsia" w:ascii="宋体" w:hAnsi="宋体" w:eastAsia="宋体" w:cs="宋体"/>
                <w:spacing w:val="0"/>
                <w:sz w:val="20"/>
                <w:szCs w:val="20"/>
              </w:rPr>
            </w:pPr>
          </w:p>
        </w:tc>
        <w:tc>
          <w:tcPr>
            <w:tcW w:w="1189" w:type="dxa"/>
            <w:vMerge w:val="continue"/>
            <w:vAlign w:val="center"/>
          </w:tcPr>
          <w:p>
            <w:pPr>
              <w:pStyle w:val="206"/>
              <w:spacing w:after="120"/>
              <w:ind w:firstLine="0" w:firstLineChars="0"/>
              <w:jc w:val="center"/>
              <w:rPr>
                <w:rFonts w:hint="eastAsia" w:ascii="宋体" w:hAnsi="宋体" w:eastAsia="宋体" w:cs="宋体"/>
                <w:spacing w:val="0"/>
                <w:sz w:val="20"/>
                <w:szCs w:val="20"/>
              </w:rPr>
            </w:pPr>
          </w:p>
        </w:tc>
        <w:tc>
          <w:tcPr>
            <w:tcW w:w="750"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45分</w:t>
            </w:r>
          </w:p>
        </w:tc>
        <w:tc>
          <w:tcPr>
            <w:tcW w:w="5141" w:type="dxa"/>
            <w:vAlign w:val="center"/>
          </w:tcPr>
          <w:p>
            <w:pPr>
              <w:pStyle w:val="206"/>
              <w:spacing w:after="120"/>
              <w:ind w:firstLine="0" w:firstLineChars="0"/>
              <w:jc w:val="left"/>
              <w:rPr>
                <w:rFonts w:hint="eastAsia" w:ascii="宋体" w:hAnsi="宋体" w:eastAsia="宋体" w:cs="宋体"/>
                <w:spacing w:val="0"/>
                <w:sz w:val="20"/>
                <w:szCs w:val="20"/>
              </w:rPr>
            </w:pPr>
            <w:r>
              <w:rPr>
                <w:rFonts w:hint="eastAsia" w:ascii="宋体" w:hAnsi="宋体" w:cs="宋体"/>
                <w:spacing w:val="0"/>
                <w:sz w:val="20"/>
                <w:szCs w:val="20"/>
                <w:lang w:eastAsia="zh-CN"/>
              </w:rPr>
              <w:t>规格级技术</w:t>
            </w:r>
            <w:r>
              <w:rPr>
                <w:rFonts w:hint="eastAsia" w:ascii="宋体" w:hAnsi="宋体" w:eastAsia="宋体" w:cs="宋体"/>
                <w:spacing w:val="0"/>
                <w:sz w:val="20"/>
                <w:szCs w:val="20"/>
              </w:rPr>
              <w:t>参数，每有一项负偏离扣</w:t>
            </w:r>
            <w:r>
              <w:rPr>
                <w:rFonts w:hint="eastAsia" w:ascii="宋体" w:hAnsi="宋体" w:cs="宋体"/>
                <w:spacing w:val="0"/>
                <w:sz w:val="20"/>
                <w:szCs w:val="20"/>
                <w:lang w:val="en-US" w:eastAsia="zh-CN"/>
              </w:rPr>
              <w:t>1</w:t>
            </w:r>
            <w:r>
              <w:rPr>
                <w:rFonts w:hint="eastAsia" w:ascii="宋体" w:hAnsi="宋体" w:eastAsia="宋体" w:cs="宋体"/>
                <w:spacing w:val="0"/>
                <w:sz w:val="20"/>
                <w:szCs w:val="20"/>
              </w:rPr>
              <w:t>分，扣完为止。</w:t>
            </w:r>
          </w:p>
        </w:tc>
        <w:tc>
          <w:tcPr>
            <w:tcW w:w="1425" w:type="dxa"/>
          </w:tcPr>
          <w:p>
            <w:pPr>
              <w:pStyle w:val="206"/>
              <w:spacing w:after="120"/>
              <w:ind w:firstLine="0" w:firstLineChars="0"/>
              <w:rPr>
                <w:rFonts w:hint="eastAsia" w:ascii="宋体" w:hAnsi="宋体" w:eastAsia="宋体" w:cs="宋体"/>
                <w:spacing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88" w:type="dxa"/>
            <w:vMerge w:val="restart"/>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商务部分25%</w:t>
            </w:r>
          </w:p>
          <w:p>
            <w:pPr>
              <w:pStyle w:val="206"/>
              <w:spacing w:after="120"/>
              <w:ind w:firstLine="166" w:firstLineChars="83"/>
              <w:jc w:val="center"/>
              <w:rPr>
                <w:rFonts w:hint="eastAsia" w:ascii="宋体" w:hAnsi="宋体" w:eastAsia="宋体" w:cs="宋体"/>
                <w:spacing w:val="0"/>
                <w:sz w:val="20"/>
                <w:szCs w:val="20"/>
              </w:rPr>
            </w:pPr>
          </w:p>
        </w:tc>
        <w:tc>
          <w:tcPr>
            <w:tcW w:w="1189" w:type="dxa"/>
            <w:vAlign w:val="center"/>
          </w:tcPr>
          <w:p>
            <w:pPr>
              <w:pStyle w:val="206"/>
              <w:spacing w:after="120"/>
              <w:ind w:firstLine="0" w:firstLineChars="0"/>
              <w:jc w:val="center"/>
              <w:rPr>
                <w:rFonts w:hint="eastAsia" w:ascii="宋体" w:hAnsi="宋体" w:eastAsia="宋体" w:cs="宋体"/>
                <w:spacing w:val="0"/>
                <w:sz w:val="20"/>
                <w:szCs w:val="20"/>
              </w:rPr>
            </w:pPr>
            <w:r>
              <w:rPr>
                <w:rFonts w:hint="eastAsia" w:ascii="宋体" w:hAnsi="宋体" w:eastAsia="宋体" w:cs="宋体"/>
                <w:spacing w:val="0"/>
                <w:sz w:val="20"/>
                <w:szCs w:val="20"/>
              </w:rPr>
              <w:t>履约能力</w:t>
            </w:r>
            <w:r>
              <w:rPr>
                <w:rFonts w:hint="eastAsia" w:ascii="宋体" w:hAnsi="宋体" w:cs="宋体"/>
                <w:spacing w:val="0"/>
                <w:sz w:val="20"/>
                <w:szCs w:val="20"/>
                <w:lang w:val="en-US" w:eastAsia="zh-CN"/>
              </w:rPr>
              <w:t>10</w:t>
            </w:r>
            <w:r>
              <w:rPr>
                <w:rFonts w:hint="eastAsia" w:ascii="宋体" w:hAnsi="宋体" w:eastAsia="宋体" w:cs="宋体"/>
                <w:spacing w:val="0"/>
                <w:sz w:val="20"/>
                <w:szCs w:val="20"/>
              </w:rPr>
              <w:t>%</w:t>
            </w:r>
          </w:p>
        </w:tc>
        <w:tc>
          <w:tcPr>
            <w:tcW w:w="750"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cs="宋体"/>
                <w:spacing w:val="0"/>
                <w:sz w:val="20"/>
                <w:szCs w:val="20"/>
                <w:lang w:val="en-US" w:eastAsia="zh-CN"/>
              </w:rPr>
              <w:t>10</w:t>
            </w:r>
            <w:r>
              <w:rPr>
                <w:rFonts w:hint="eastAsia" w:ascii="宋体" w:hAnsi="宋体" w:eastAsia="宋体" w:cs="宋体"/>
                <w:spacing w:val="0"/>
                <w:sz w:val="20"/>
                <w:szCs w:val="20"/>
              </w:rPr>
              <w:t>分</w:t>
            </w:r>
          </w:p>
        </w:tc>
        <w:tc>
          <w:tcPr>
            <w:tcW w:w="5141" w:type="dxa"/>
            <w:vAlign w:val="center"/>
          </w:tcPr>
          <w:p>
            <w:pPr>
              <w:pStyle w:val="206"/>
              <w:spacing w:after="120"/>
              <w:ind w:firstLine="0" w:firstLineChars="0"/>
              <w:jc w:val="left"/>
              <w:rPr>
                <w:rFonts w:hint="eastAsia" w:ascii="宋体" w:hAnsi="宋体" w:eastAsia="宋体" w:cs="宋体"/>
                <w:spacing w:val="0"/>
                <w:sz w:val="20"/>
                <w:szCs w:val="20"/>
              </w:rPr>
            </w:pPr>
            <w:r>
              <w:rPr>
                <w:rFonts w:hint="eastAsia" w:ascii="宋体" w:hAnsi="宋体" w:eastAsia="宋体" w:cs="宋体"/>
                <w:spacing w:val="0"/>
                <w:sz w:val="20"/>
                <w:szCs w:val="20"/>
              </w:rPr>
              <w:t>提供原厂201</w:t>
            </w:r>
            <w:r>
              <w:rPr>
                <w:rFonts w:hint="eastAsia" w:ascii="宋体" w:hAnsi="宋体" w:cs="宋体"/>
                <w:spacing w:val="0"/>
                <w:sz w:val="20"/>
                <w:szCs w:val="20"/>
                <w:lang w:val="en-US" w:eastAsia="zh-CN"/>
              </w:rPr>
              <w:t>9</w:t>
            </w:r>
            <w:r>
              <w:rPr>
                <w:rFonts w:hint="eastAsia" w:ascii="宋体" w:hAnsi="宋体" w:eastAsia="宋体" w:cs="宋体"/>
                <w:spacing w:val="0"/>
                <w:sz w:val="20"/>
                <w:szCs w:val="20"/>
              </w:rPr>
              <w:t>年1月1日至今类似项目履约能力证明材料，每提供一个得</w:t>
            </w:r>
            <w:r>
              <w:rPr>
                <w:rFonts w:hint="eastAsia" w:ascii="宋体" w:hAnsi="宋体" w:cs="宋体"/>
                <w:spacing w:val="0"/>
                <w:sz w:val="20"/>
                <w:szCs w:val="20"/>
                <w:lang w:val="en-US" w:eastAsia="zh-CN"/>
              </w:rPr>
              <w:t>5</w:t>
            </w:r>
            <w:r>
              <w:rPr>
                <w:rFonts w:hint="eastAsia" w:ascii="宋体" w:hAnsi="宋体" w:eastAsia="宋体" w:cs="宋体"/>
                <w:spacing w:val="0"/>
                <w:sz w:val="20"/>
                <w:szCs w:val="20"/>
              </w:rPr>
              <w:t>分，最多得</w:t>
            </w:r>
            <w:r>
              <w:rPr>
                <w:rFonts w:hint="eastAsia" w:ascii="宋体" w:hAnsi="宋体" w:cs="宋体"/>
                <w:spacing w:val="0"/>
                <w:sz w:val="20"/>
                <w:szCs w:val="20"/>
                <w:lang w:val="en-US" w:eastAsia="zh-CN"/>
              </w:rPr>
              <w:t>10</w:t>
            </w:r>
            <w:r>
              <w:rPr>
                <w:rFonts w:hint="eastAsia" w:ascii="宋体" w:hAnsi="宋体" w:eastAsia="宋体" w:cs="宋体"/>
                <w:spacing w:val="0"/>
                <w:sz w:val="20"/>
                <w:szCs w:val="20"/>
              </w:rPr>
              <w:t>分（须提供项目中标通知书、项目合同复印件）。</w:t>
            </w:r>
          </w:p>
        </w:tc>
        <w:tc>
          <w:tcPr>
            <w:tcW w:w="1425" w:type="dxa"/>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提供证明材料复印件并加盖原厂鲜章。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988" w:type="dxa"/>
            <w:vMerge w:val="continue"/>
            <w:vAlign w:val="center"/>
          </w:tcPr>
          <w:p>
            <w:pPr>
              <w:pStyle w:val="206"/>
              <w:spacing w:after="120"/>
              <w:ind w:firstLine="166" w:firstLineChars="83"/>
              <w:rPr>
                <w:rFonts w:hint="eastAsia" w:ascii="宋体" w:hAnsi="宋体" w:eastAsia="宋体" w:cs="宋体"/>
                <w:spacing w:val="0"/>
                <w:sz w:val="20"/>
                <w:szCs w:val="20"/>
              </w:rPr>
            </w:pPr>
          </w:p>
        </w:tc>
        <w:tc>
          <w:tcPr>
            <w:tcW w:w="1189" w:type="dxa"/>
            <w:vAlign w:val="center"/>
          </w:tcPr>
          <w:p>
            <w:pPr>
              <w:pStyle w:val="206"/>
              <w:spacing w:after="120"/>
              <w:ind w:firstLine="0" w:firstLineChars="0"/>
              <w:jc w:val="center"/>
              <w:rPr>
                <w:rFonts w:hint="eastAsia" w:ascii="宋体" w:hAnsi="宋体" w:eastAsia="宋体" w:cs="宋体"/>
                <w:spacing w:val="0"/>
                <w:sz w:val="20"/>
                <w:szCs w:val="20"/>
              </w:rPr>
            </w:pPr>
            <w:r>
              <w:rPr>
                <w:rFonts w:hint="eastAsia" w:ascii="宋体" w:hAnsi="宋体" w:cs="宋体"/>
                <w:spacing w:val="0"/>
                <w:sz w:val="20"/>
                <w:szCs w:val="20"/>
                <w:lang w:eastAsia="zh-CN"/>
              </w:rPr>
              <w:t>项目</w:t>
            </w:r>
            <w:r>
              <w:rPr>
                <w:rFonts w:hint="eastAsia" w:ascii="宋体" w:hAnsi="宋体" w:eastAsia="宋体" w:cs="宋体"/>
                <w:spacing w:val="0"/>
                <w:sz w:val="20"/>
                <w:szCs w:val="20"/>
              </w:rPr>
              <w:t>建设经验（企业实力）10%</w:t>
            </w:r>
          </w:p>
        </w:tc>
        <w:tc>
          <w:tcPr>
            <w:tcW w:w="750"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10分</w:t>
            </w:r>
          </w:p>
        </w:tc>
        <w:tc>
          <w:tcPr>
            <w:tcW w:w="5141" w:type="dxa"/>
            <w:vAlign w:val="center"/>
          </w:tcPr>
          <w:p>
            <w:pPr>
              <w:pStyle w:val="206"/>
              <w:spacing w:after="120"/>
              <w:ind w:firstLine="0" w:firstLineChars="0"/>
              <w:jc w:val="left"/>
              <w:rPr>
                <w:rFonts w:hint="eastAsia" w:ascii="宋体" w:hAnsi="宋体" w:eastAsia="宋体" w:cs="宋体"/>
                <w:spacing w:val="0"/>
                <w:sz w:val="20"/>
                <w:szCs w:val="20"/>
              </w:rPr>
            </w:pPr>
            <w:r>
              <w:rPr>
                <w:rFonts w:hint="eastAsia" w:ascii="宋体" w:hAnsi="宋体" w:eastAsia="宋体" w:cs="宋体"/>
                <w:spacing w:val="0"/>
                <w:sz w:val="20"/>
                <w:szCs w:val="20"/>
              </w:rPr>
              <w:t>投标人有参与</w:t>
            </w:r>
            <w:r>
              <w:rPr>
                <w:rFonts w:hint="eastAsia" w:ascii="宋体" w:hAnsi="宋体" w:cs="宋体"/>
                <w:spacing w:val="0"/>
                <w:sz w:val="20"/>
                <w:szCs w:val="20"/>
                <w:lang w:eastAsia="zh-CN"/>
              </w:rPr>
              <w:t>高校实验室</w:t>
            </w:r>
            <w:r>
              <w:rPr>
                <w:rFonts w:hint="eastAsia" w:ascii="宋体" w:hAnsi="宋体" w:eastAsia="宋体" w:cs="宋体"/>
                <w:spacing w:val="0"/>
                <w:sz w:val="20"/>
                <w:szCs w:val="20"/>
              </w:rPr>
              <w:t>建设经验，提供相关证明材料得10分，未提供不得分。</w:t>
            </w:r>
          </w:p>
        </w:tc>
        <w:tc>
          <w:tcPr>
            <w:tcW w:w="1425" w:type="dxa"/>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提供证明材料复印件并加盖原厂鲜章。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988" w:type="dxa"/>
            <w:vMerge w:val="continue"/>
            <w:vAlign w:val="center"/>
          </w:tcPr>
          <w:p>
            <w:pPr>
              <w:pStyle w:val="206"/>
              <w:spacing w:after="120"/>
              <w:ind w:firstLine="166" w:firstLineChars="83"/>
              <w:rPr>
                <w:rFonts w:hint="eastAsia" w:ascii="宋体" w:hAnsi="宋体" w:eastAsia="宋体" w:cs="宋体"/>
                <w:spacing w:val="0"/>
                <w:sz w:val="20"/>
                <w:szCs w:val="20"/>
              </w:rPr>
            </w:pPr>
          </w:p>
        </w:tc>
        <w:tc>
          <w:tcPr>
            <w:tcW w:w="1189" w:type="dxa"/>
            <w:vAlign w:val="center"/>
          </w:tcPr>
          <w:p>
            <w:pPr>
              <w:pageBreakBefore w:val="0"/>
              <w:kinsoku/>
              <w:overflowPunct/>
              <w:topLinePunct w:val="0"/>
              <w:bidi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售后</w:t>
            </w:r>
          </w:p>
          <w:p>
            <w:pPr>
              <w:pageBreakBefore w:val="0"/>
              <w:kinsoku/>
              <w:overflowPunct/>
              <w:topLinePunct w:val="0"/>
              <w:bidi w:val="0"/>
              <w:spacing w:line="400" w:lineRule="exact"/>
              <w:ind w:firstLine="0" w:firstLineChars="0"/>
              <w:jc w:val="center"/>
              <w:rPr>
                <w:rFonts w:hint="eastAsia" w:ascii="宋体" w:hAnsi="宋体" w:eastAsia="宋体" w:cs="宋体"/>
                <w:sz w:val="21"/>
                <w:szCs w:val="21"/>
              </w:rPr>
            </w:pPr>
            <w:r>
              <w:rPr>
                <w:rFonts w:hint="eastAsia" w:ascii="宋体" w:hAnsi="宋体" w:eastAsia="宋体" w:cs="宋体"/>
                <w:sz w:val="21"/>
                <w:szCs w:val="21"/>
              </w:rPr>
              <w:t>服务</w:t>
            </w:r>
          </w:p>
          <w:p>
            <w:pPr>
              <w:pStyle w:val="206"/>
              <w:spacing w:after="120"/>
              <w:ind w:firstLine="0" w:firstLineChars="0"/>
              <w:jc w:val="center"/>
              <w:rPr>
                <w:rFonts w:hint="default" w:ascii="宋体" w:hAnsi="宋体" w:eastAsia="宋体" w:cs="宋体"/>
                <w:spacing w:val="0"/>
                <w:sz w:val="20"/>
                <w:szCs w:val="20"/>
                <w:lang w:val="en-US" w:eastAsia="zh-CN"/>
              </w:rPr>
            </w:pPr>
            <w:r>
              <w:rPr>
                <w:rFonts w:hint="eastAsia" w:ascii="宋体" w:hAnsi="宋体" w:cs="宋体"/>
                <w:spacing w:val="0"/>
                <w:sz w:val="20"/>
                <w:szCs w:val="20"/>
                <w:lang w:val="en-US" w:eastAsia="zh-CN"/>
              </w:rPr>
              <w:t>5%</w:t>
            </w:r>
          </w:p>
        </w:tc>
        <w:tc>
          <w:tcPr>
            <w:tcW w:w="750" w:type="dxa"/>
            <w:vAlign w:val="center"/>
          </w:tcPr>
          <w:p>
            <w:pPr>
              <w:pStyle w:val="206"/>
              <w:spacing w:after="120"/>
              <w:ind w:firstLine="0" w:firstLineChars="0"/>
              <w:rPr>
                <w:rFonts w:hint="eastAsia" w:ascii="宋体" w:hAnsi="宋体" w:eastAsia="宋体" w:cs="宋体"/>
                <w:spacing w:val="0"/>
                <w:sz w:val="20"/>
                <w:szCs w:val="20"/>
              </w:rPr>
            </w:pPr>
            <w:r>
              <w:rPr>
                <w:rFonts w:hint="eastAsia" w:ascii="宋体" w:hAnsi="宋体" w:eastAsia="宋体" w:cs="宋体"/>
                <w:spacing w:val="0"/>
                <w:sz w:val="20"/>
                <w:szCs w:val="20"/>
              </w:rPr>
              <w:t>5分</w:t>
            </w:r>
          </w:p>
        </w:tc>
        <w:tc>
          <w:tcPr>
            <w:tcW w:w="5141" w:type="dxa"/>
            <w:vAlign w:val="center"/>
          </w:tcPr>
          <w:p>
            <w:pPr>
              <w:pStyle w:val="206"/>
              <w:spacing w:after="120"/>
              <w:ind w:firstLine="0" w:firstLineChars="0"/>
              <w:jc w:val="left"/>
              <w:rPr>
                <w:rFonts w:hint="eastAsia" w:ascii="宋体" w:hAnsi="宋体" w:eastAsia="宋体" w:cs="宋体"/>
                <w:spacing w:val="0"/>
                <w:sz w:val="20"/>
                <w:szCs w:val="20"/>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w:t>
            </w:r>
            <w:r>
              <w:rPr>
                <w:rFonts w:hint="eastAsia" w:ascii="宋体" w:hAnsi="宋体" w:cs="宋体"/>
                <w:sz w:val="21"/>
                <w:szCs w:val="21"/>
                <w:lang w:eastAsia="zh-CN"/>
              </w:rPr>
              <w:t>设备</w:t>
            </w:r>
            <w:r>
              <w:rPr>
                <w:rFonts w:hint="eastAsia" w:ascii="宋体" w:hAnsi="宋体" w:eastAsia="宋体" w:cs="宋体"/>
                <w:sz w:val="21"/>
                <w:szCs w:val="21"/>
              </w:rPr>
              <w:t>售后服务方案的完整性、时效性，售后服务的优劣程度进行评分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0-5分</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1425" w:type="dxa"/>
          </w:tcPr>
          <w:p>
            <w:pPr>
              <w:pStyle w:val="206"/>
              <w:spacing w:after="120"/>
              <w:ind w:firstLine="0" w:firstLineChars="0"/>
              <w:rPr>
                <w:rFonts w:hint="eastAsia" w:ascii="宋体" w:hAnsi="宋体" w:eastAsia="宋体" w:cs="宋体"/>
                <w:spacing w:val="0"/>
                <w:sz w:val="20"/>
                <w:szCs w:val="20"/>
              </w:rPr>
            </w:pPr>
          </w:p>
        </w:tc>
      </w:tr>
      <w:bookmarkEnd w:id="285"/>
      <w:bookmarkEnd w:id="286"/>
    </w:tbl>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Cs/>
          <w:color w:val="000000"/>
          <w:kern w:val="0"/>
          <w:sz w:val="28"/>
          <w:szCs w:val="28"/>
          <w:lang w:bidi="en-US"/>
        </w:rPr>
        <w:sectPr>
          <w:footerReference r:id="rId9" w:type="default"/>
          <w:pgSz w:w="11906" w:h="16838"/>
          <w:pgMar w:top="1440" w:right="1841" w:bottom="1440" w:left="1800" w:header="851" w:footer="992" w:gutter="0"/>
          <w:cols w:space="425" w:num="1"/>
          <w:docGrid w:linePitch="312" w:charSpace="0"/>
        </w:sectPr>
      </w:pPr>
    </w:p>
    <w:p>
      <w:pPr>
        <w:pStyle w:val="2"/>
        <w:numPr>
          <w:ilvl w:val="0"/>
          <w:numId w:val="0"/>
        </w:numPr>
        <w:jc w:val="center"/>
        <w:rPr>
          <w:rFonts w:hint="eastAsia" w:ascii="仿宋" w:hAnsi="仿宋" w:eastAsia="仿宋" w:cs="仿宋"/>
          <w:sz w:val="44"/>
          <w:szCs w:val="44"/>
        </w:rPr>
      </w:pPr>
      <w:bookmarkStart w:id="287" w:name="_Toc454373093"/>
      <w:bookmarkStart w:id="288" w:name="_Toc484637076"/>
      <w:bookmarkStart w:id="289" w:name="_Toc481694471"/>
      <w:bookmarkStart w:id="290" w:name="_Toc531594799"/>
      <w:r>
        <w:rPr>
          <w:rFonts w:hint="eastAsia" w:ascii="仿宋" w:hAnsi="仿宋" w:eastAsia="仿宋" w:cs="仿宋"/>
          <w:sz w:val="44"/>
          <w:szCs w:val="44"/>
        </w:rPr>
        <w:t>第五章 投标文件格式</w:t>
      </w:r>
      <w:bookmarkEnd w:id="287"/>
      <w:bookmarkEnd w:id="288"/>
      <w:bookmarkEnd w:id="289"/>
      <w:bookmarkEnd w:id="290"/>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b/>
          <w:sz w:val="28"/>
          <w:szCs w:val="28"/>
        </w:rPr>
      </w:pPr>
      <w:bookmarkStart w:id="291" w:name="_Toc425408086"/>
      <w:bookmarkStart w:id="292" w:name="_Toc217446082"/>
      <w:r>
        <w:rPr>
          <w:rFonts w:hint="eastAsia" w:ascii="仿宋" w:hAnsi="仿宋" w:eastAsia="仿宋" w:cs="仿宋"/>
          <w:b/>
          <w:sz w:val="28"/>
          <w:szCs w:val="28"/>
        </w:rPr>
        <w:t>一、投 标 函</w:t>
      </w:r>
      <w:bookmarkEnd w:id="291"/>
      <w:bookmarkEnd w:id="292"/>
    </w:p>
    <w:p>
      <w:pPr>
        <w:keepNext w:val="0"/>
        <w:keepLines w:val="0"/>
        <w:pageBreakBefore w:val="0"/>
        <w:kinsoku/>
        <w:wordWrap/>
        <w:overflowPunct/>
        <w:topLinePunct w:val="0"/>
        <w:autoSpaceDE/>
        <w:autoSpaceDN/>
        <w:bidi w:val="0"/>
        <w:spacing w:line="52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（采购人）：</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我方全面研究了“  ”项目招标文件（  ），决定参加贵单位组织的本项目投标。我方授权（姓名、职务）代表我方（投标单位的名称）全权处理本项目投标的有关事宜。</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我方自愿按照招标文件规定的各项要求向采购人提供所需货物/服务，总投标价为人民币    万元（大写：）。</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一旦我方中标，我方将严格履行合同规定的责任和义务，保证于合同签字生效后日内完成项目的安装、调试，并交付采购人验收、使用。</w:t>
      </w:r>
    </w:p>
    <w:p>
      <w:pPr>
        <w:keepNext w:val="0"/>
        <w:keepLines w:val="0"/>
        <w:pageBreakBefore w:val="0"/>
        <w:kinsoku/>
        <w:wordWrap/>
        <w:overflowPunct/>
        <w:topLinePunct w:val="0"/>
        <w:autoSpaceDE/>
        <w:autoSpaceDN/>
        <w:bidi w:val="0"/>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我方为本项目提交的投标文件正本</w:t>
      </w:r>
      <w:r>
        <w:rPr>
          <w:rFonts w:hint="eastAsia" w:ascii="仿宋" w:hAnsi="仿宋" w:eastAsia="仿宋" w:cs="仿宋"/>
          <w:sz w:val="28"/>
          <w:szCs w:val="28"/>
          <w:u w:val="single"/>
        </w:rPr>
        <w:t xml:space="preserve">  </w:t>
      </w:r>
      <w:r>
        <w:rPr>
          <w:rFonts w:hint="eastAsia" w:ascii="仿宋" w:hAnsi="仿宋" w:eastAsia="仿宋" w:cs="仿宋"/>
          <w:sz w:val="28"/>
          <w:szCs w:val="28"/>
        </w:rPr>
        <w:t>份，副本</w:t>
      </w:r>
      <w:r>
        <w:rPr>
          <w:rFonts w:hint="eastAsia" w:ascii="仿宋" w:hAnsi="仿宋" w:eastAsia="仿宋" w:cs="仿宋"/>
          <w:sz w:val="28"/>
          <w:szCs w:val="28"/>
          <w:u w:val="single"/>
        </w:rPr>
        <w:t xml:space="preserve">  </w:t>
      </w:r>
      <w:r>
        <w:rPr>
          <w:rFonts w:hint="eastAsia" w:ascii="仿宋" w:hAnsi="仿宋" w:eastAsia="仿宋" w:cs="仿宋"/>
          <w:sz w:val="28"/>
          <w:szCs w:val="28"/>
        </w:rPr>
        <w:t>份，用于开标唱标的</w:t>
      </w:r>
      <w:bookmarkStart w:id="295" w:name="_GoBack"/>
      <w:bookmarkEnd w:id="295"/>
      <w:r>
        <w:rPr>
          <w:rFonts w:hint="eastAsia" w:ascii="仿宋" w:hAnsi="仿宋" w:eastAsia="仿宋" w:cs="仿宋"/>
          <w:sz w:val="28"/>
          <w:szCs w:val="28"/>
        </w:rPr>
        <w:t>开标一览</w:t>
      </w:r>
      <w:r>
        <w:rPr>
          <w:rFonts w:hint="eastAsia" w:ascii="仿宋" w:hAnsi="仿宋" w:eastAsia="仿宋" w:cs="仿宋"/>
          <w:sz w:val="28"/>
          <w:szCs w:val="28"/>
          <w:lang w:eastAsia="zh-CN"/>
        </w:rPr>
        <w:t>表</w:t>
      </w:r>
      <w:r>
        <w:rPr>
          <w:rFonts w:hint="eastAsia" w:ascii="仿宋" w:hAnsi="仿宋" w:eastAsia="仿宋" w:cs="仿宋"/>
          <w:sz w:val="28"/>
          <w:szCs w:val="28"/>
          <w:u w:val="single"/>
        </w:rPr>
        <w:t xml:space="preserve">  </w:t>
      </w:r>
      <w:r>
        <w:rPr>
          <w:rFonts w:hint="eastAsia" w:ascii="仿宋" w:hAnsi="仿宋" w:eastAsia="仿宋" w:cs="仿宋"/>
          <w:sz w:val="28"/>
          <w:szCs w:val="28"/>
        </w:rPr>
        <w:t>份。</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w:t>
      </w:r>
      <w:r>
        <w:rPr>
          <w:rFonts w:hint="eastAsia" w:ascii="仿宋" w:hAnsi="仿宋" w:eastAsia="仿宋" w:cs="仿宋"/>
          <w:sz w:val="28"/>
          <w:szCs w:val="28"/>
        </w:rPr>
        <w:t>我方愿意提供贵中心可能另外要求的，与投标有关的文件资料，并保证我方已提供和将要提供的文件资料是真实、准确的。</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en-US" w:eastAsia="zh-CN"/>
        </w:rPr>
        <w:t>.</w:t>
      </w:r>
      <w:r>
        <w:rPr>
          <w:rFonts w:hint="eastAsia" w:ascii="仿宋" w:hAnsi="仿宋" w:eastAsia="仿宋" w:cs="仿宋"/>
          <w:sz w:val="28"/>
          <w:szCs w:val="28"/>
        </w:rPr>
        <w:t>我方完全理解采购人不一定将合同授予最低报价的投标人的行为。</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 xml:space="preserve">投标人名称（盖章）：        </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法定代表人或授权代表（签字）：</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日    期：</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bookmarkStart w:id="293" w:name="_Toc217446083"/>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28"/>
          <w:szCs w:val="28"/>
        </w:rPr>
        <w:sectPr>
          <w:pgSz w:w="11907" w:h="16840"/>
          <w:pgMar w:top="1134" w:right="1107" w:bottom="1440" w:left="1440" w:header="851" w:footer="992" w:gutter="0"/>
          <w:pgNumType w:chapStyle="1"/>
          <w:cols w:space="425" w:num="1"/>
          <w:docGrid w:linePitch="312" w:charSpace="0"/>
        </w:sectPr>
      </w:pPr>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b/>
          <w:sz w:val="28"/>
          <w:szCs w:val="28"/>
        </w:rPr>
      </w:pPr>
      <w:bookmarkStart w:id="294" w:name="_Toc425408087"/>
      <w:r>
        <w:rPr>
          <w:rFonts w:hint="eastAsia" w:ascii="仿宋" w:hAnsi="仿宋" w:eastAsia="仿宋" w:cs="仿宋"/>
          <w:b/>
          <w:sz w:val="28"/>
          <w:szCs w:val="28"/>
        </w:rPr>
        <w:t>二、法定代表人授权书</w:t>
      </w:r>
      <w:bookmarkEnd w:id="293"/>
      <w:bookmarkEnd w:id="294"/>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__________________（采购人）：</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本授权声明：（投标人名称）（法定代表人姓名、职务）授权（被授权人姓名、职务）为我方 “ ” 项目投标活动的合法代表，以我方名义全权处理该项目有关投标、签订合同以及执行合同等一切事宜。</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特此声明。</w:t>
      </w:r>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法定代表人签字：</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授权代表签字：</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 xml:space="preserve">投标人名称（盖章）：         </w:t>
      </w:r>
    </w:p>
    <w:p>
      <w:pPr>
        <w:keepNext w:val="0"/>
        <w:keepLines w:val="0"/>
        <w:pageBreakBefore w:val="0"/>
        <w:kinsoku/>
        <w:wordWrap/>
        <w:overflowPunct/>
        <w:topLinePunct w:val="0"/>
        <w:autoSpaceDE/>
        <w:autoSpaceDN/>
        <w:bidi w:val="0"/>
        <w:spacing w:line="520" w:lineRule="exact"/>
        <w:ind w:firstLine="537" w:firstLineChars="192"/>
        <w:textAlignment w:val="auto"/>
        <w:rPr>
          <w:rFonts w:hint="eastAsia" w:ascii="仿宋" w:hAnsi="仿宋" w:eastAsia="仿宋" w:cs="仿宋"/>
          <w:sz w:val="28"/>
          <w:szCs w:val="28"/>
        </w:rPr>
      </w:pPr>
      <w:r>
        <w:rPr>
          <w:rFonts w:hint="eastAsia" w:ascii="仿宋" w:hAnsi="仿宋" w:eastAsia="仿宋" w:cs="仿宋"/>
          <w:sz w:val="28"/>
          <w:szCs w:val="28"/>
        </w:rPr>
        <w:t>日    期：</w:t>
      </w:r>
    </w:p>
    <w:p>
      <w:pPr>
        <w:pStyle w:val="22"/>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（若法定代表人亲自参加投标活动，需提供法定代表人身份证明，格式如下）</w:t>
      </w:r>
    </w:p>
    <w:p>
      <w:pPr>
        <w:pStyle w:val="38"/>
        <w:keepNext w:val="0"/>
        <w:keepLines w:val="0"/>
        <w:pageBreakBefore w:val="0"/>
        <w:kinsoku/>
        <w:wordWrap/>
        <w:overflowPunct/>
        <w:topLinePunct w:val="0"/>
        <w:autoSpaceDE/>
        <w:autoSpaceDN/>
        <w:bidi w:val="0"/>
        <w:spacing w:line="520" w:lineRule="exact"/>
        <w:jc w:val="center"/>
        <w:textAlignment w:val="auto"/>
        <w:rPr>
          <w:rFonts w:hint="eastAsia" w:ascii="仿宋" w:hAnsi="仿宋" w:eastAsia="仿宋" w:cs="仿宋"/>
          <w:sz w:val="28"/>
          <w:szCs w:val="28"/>
        </w:rPr>
      </w:pPr>
      <w:r>
        <w:rPr>
          <w:rStyle w:val="45"/>
          <w:rFonts w:hint="eastAsia" w:ascii="仿宋" w:hAnsi="仿宋" w:eastAsia="仿宋" w:cs="仿宋"/>
          <w:sz w:val="28"/>
          <w:szCs w:val="28"/>
        </w:rPr>
        <w:t>法定代表人身份证明书</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×××（姓名、性别、年龄）在我公司（或者企业、单位）任×××（董事长、总经理等）职务，是我公司（或者企业、单位）的法定代表人。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×××公司（单位全称加盖公章）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×年×月×日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法定代表人住址： 　　</w:t>
      </w:r>
    </w:p>
    <w:p>
      <w:pPr>
        <w:keepNext w:val="0"/>
        <w:keepLines w:val="0"/>
        <w:pageBreakBefore w:val="0"/>
        <w:kinsoku/>
        <w:wordWrap/>
        <w:overflowPunct/>
        <w:topLinePunct w:val="0"/>
        <w:autoSpaceDE/>
        <w:autoSpaceDN/>
        <w:bidi w:val="0"/>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电话： </w:t>
      </w:r>
    </w:p>
    <w:p>
      <w:pPr>
        <w:keepNext w:val="0"/>
        <w:keepLines w:val="0"/>
        <w:pageBreakBefore w:val="0"/>
        <w:kinsoku/>
        <w:wordWrap/>
        <w:overflowPunct/>
        <w:topLinePunct w:val="0"/>
        <w:autoSpaceDE/>
        <w:autoSpaceDN/>
        <w:bidi w:val="0"/>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附：法定代表人身份证身印件　　</w:t>
      </w:r>
    </w:p>
    <w:p>
      <w:pPr>
        <w:spacing w:line="500" w:lineRule="exact"/>
        <w:ind w:firstLine="463" w:firstLineChars="192"/>
        <w:rPr>
          <w:rFonts w:asciiTheme="minorEastAsia" w:hAnsiTheme="minorEastAsia" w:eastAsiaTheme="minorEastAsia"/>
          <w:b/>
          <w:szCs w:val="28"/>
        </w:rPr>
        <w:sectPr>
          <w:pgSz w:w="11907" w:h="16840"/>
          <w:pgMar w:top="1440" w:right="1466" w:bottom="1440" w:left="1440" w:header="851" w:footer="992" w:gutter="0"/>
          <w:cols w:space="425" w:num="1"/>
          <w:docGrid w:linePitch="312" w:charSpace="0"/>
        </w:sectPr>
      </w:pPr>
    </w:p>
    <w:p>
      <w:pPr>
        <w:autoSpaceDE w:val="0"/>
        <w:autoSpaceDN w:val="0"/>
        <w:adjustRightInd w:val="0"/>
        <w:snapToGrid w:val="0"/>
        <w:spacing w:line="360" w:lineRule="auto"/>
        <w:jc w:val="left"/>
        <w:outlineLvl w:val="1"/>
        <w:rPr>
          <w:rFonts w:hint="eastAsia"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投标人名称</w:t>
            </w:r>
          </w:p>
        </w:tc>
        <w:tc>
          <w:tcPr>
            <w:tcW w:w="7308" w:type="dxa"/>
            <w:gridSpan w:val="9"/>
            <w:vAlign w:val="center"/>
          </w:tcPr>
          <w:p>
            <w:pPr>
              <w:spacing w:line="500" w:lineRule="exact"/>
              <w:rPr>
                <w:rFonts w:hint="eastAsia"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注册地址</w:t>
            </w:r>
          </w:p>
        </w:tc>
        <w:tc>
          <w:tcPr>
            <w:tcW w:w="3165" w:type="dxa"/>
            <w:gridSpan w:val="5"/>
            <w:vAlign w:val="center"/>
          </w:tcPr>
          <w:p>
            <w:pPr>
              <w:spacing w:line="500" w:lineRule="exact"/>
              <w:rPr>
                <w:rFonts w:hint="eastAsia" w:ascii="宋体" w:hAnsi="宋体" w:eastAsia="宋体" w:cs="宋体"/>
                <w:kern w:val="0"/>
                <w:sz w:val="21"/>
                <w:szCs w:val="21"/>
              </w:rPr>
            </w:pPr>
          </w:p>
        </w:tc>
        <w:tc>
          <w:tcPr>
            <w:tcW w:w="1319"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邮政编码</w:t>
            </w:r>
          </w:p>
        </w:tc>
        <w:tc>
          <w:tcPr>
            <w:tcW w:w="2824" w:type="dxa"/>
            <w:gridSpan w:val="3"/>
            <w:vAlign w:val="center"/>
          </w:tcPr>
          <w:p>
            <w:pPr>
              <w:spacing w:line="500" w:lineRule="exact"/>
              <w:rPr>
                <w:rFonts w:hint="eastAsia"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联系方式</w:t>
            </w:r>
          </w:p>
        </w:tc>
        <w:tc>
          <w:tcPr>
            <w:tcW w:w="1080"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联系人</w:t>
            </w:r>
          </w:p>
        </w:tc>
        <w:tc>
          <w:tcPr>
            <w:tcW w:w="2077" w:type="dxa"/>
            <w:gridSpan w:val="2"/>
            <w:vAlign w:val="center"/>
          </w:tcPr>
          <w:p>
            <w:pPr>
              <w:spacing w:line="500" w:lineRule="exact"/>
              <w:rPr>
                <w:rFonts w:hint="eastAsia" w:ascii="宋体" w:hAnsi="宋体" w:eastAsia="宋体" w:cs="宋体"/>
                <w:kern w:val="0"/>
                <w:sz w:val="21"/>
                <w:szCs w:val="21"/>
              </w:rPr>
            </w:pPr>
          </w:p>
        </w:tc>
        <w:tc>
          <w:tcPr>
            <w:tcW w:w="1327"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2824" w:type="dxa"/>
            <w:gridSpan w:val="3"/>
            <w:vAlign w:val="center"/>
          </w:tcPr>
          <w:p>
            <w:pPr>
              <w:spacing w:line="500" w:lineRule="exact"/>
              <w:rPr>
                <w:rFonts w:hint="eastAsia"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pPr>
              <w:spacing w:line="500" w:lineRule="exact"/>
              <w:rPr>
                <w:rFonts w:hint="eastAsia" w:ascii="宋体" w:hAnsi="宋体" w:eastAsia="宋体" w:cs="宋体"/>
                <w:kern w:val="0"/>
                <w:sz w:val="21"/>
                <w:szCs w:val="21"/>
              </w:rPr>
            </w:pPr>
          </w:p>
        </w:tc>
        <w:tc>
          <w:tcPr>
            <w:tcW w:w="1080"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传真</w:t>
            </w:r>
          </w:p>
        </w:tc>
        <w:tc>
          <w:tcPr>
            <w:tcW w:w="2077" w:type="dxa"/>
            <w:gridSpan w:val="2"/>
            <w:vAlign w:val="center"/>
          </w:tcPr>
          <w:p>
            <w:pPr>
              <w:spacing w:line="500" w:lineRule="exact"/>
              <w:rPr>
                <w:rFonts w:hint="eastAsia" w:ascii="宋体" w:hAnsi="宋体" w:eastAsia="宋体" w:cs="宋体"/>
                <w:kern w:val="0"/>
                <w:sz w:val="21"/>
                <w:szCs w:val="21"/>
              </w:rPr>
            </w:pPr>
          </w:p>
        </w:tc>
        <w:tc>
          <w:tcPr>
            <w:tcW w:w="1327"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网址</w:t>
            </w:r>
          </w:p>
        </w:tc>
        <w:tc>
          <w:tcPr>
            <w:tcW w:w="2824" w:type="dxa"/>
            <w:gridSpan w:val="3"/>
            <w:vAlign w:val="center"/>
          </w:tcPr>
          <w:p>
            <w:pPr>
              <w:spacing w:line="500" w:lineRule="exact"/>
              <w:rPr>
                <w:rFonts w:hint="eastAsia"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组织结构</w:t>
            </w:r>
          </w:p>
        </w:tc>
        <w:tc>
          <w:tcPr>
            <w:tcW w:w="7308" w:type="dxa"/>
            <w:gridSpan w:val="9"/>
            <w:vAlign w:val="center"/>
          </w:tcPr>
          <w:p>
            <w:pPr>
              <w:spacing w:line="500" w:lineRule="exact"/>
              <w:rPr>
                <w:rFonts w:hint="eastAsia" w:ascii="宋体" w:hAnsi="宋体" w:eastAsia="宋体" w:cs="宋体"/>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法定代表人</w:t>
            </w:r>
          </w:p>
        </w:tc>
        <w:tc>
          <w:tcPr>
            <w:tcW w:w="696"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姓名</w:t>
            </w:r>
          </w:p>
        </w:tc>
        <w:tc>
          <w:tcPr>
            <w:tcW w:w="1284" w:type="dxa"/>
            <w:gridSpan w:val="2"/>
            <w:vAlign w:val="center"/>
          </w:tcPr>
          <w:p>
            <w:pPr>
              <w:spacing w:line="500" w:lineRule="exact"/>
              <w:rPr>
                <w:rFonts w:hint="eastAsia" w:ascii="宋体" w:hAnsi="宋体" w:eastAsia="宋体" w:cs="宋体"/>
                <w:kern w:val="0"/>
                <w:sz w:val="21"/>
                <w:szCs w:val="21"/>
              </w:rPr>
            </w:pPr>
          </w:p>
        </w:tc>
        <w:tc>
          <w:tcPr>
            <w:tcW w:w="1177"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技术职称</w:t>
            </w:r>
          </w:p>
        </w:tc>
        <w:tc>
          <w:tcPr>
            <w:tcW w:w="1327" w:type="dxa"/>
            <w:gridSpan w:val="2"/>
            <w:vAlign w:val="center"/>
          </w:tcPr>
          <w:p>
            <w:pPr>
              <w:spacing w:line="500" w:lineRule="exact"/>
              <w:rPr>
                <w:rFonts w:hint="eastAsia" w:ascii="宋体" w:hAnsi="宋体" w:eastAsia="宋体" w:cs="宋体"/>
                <w:kern w:val="0"/>
                <w:sz w:val="21"/>
                <w:szCs w:val="21"/>
              </w:rPr>
            </w:pPr>
          </w:p>
        </w:tc>
        <w:tc>
          <w:tcPr>
            <w:tcW w:w="1173"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1651" w:type="dxa"/>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技术负责人</w:t>
            </w:r>
          </w:p>
        </w:tc>
        <w:tc>
          <w:tcPr>
            <w:tcW w:w="696"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姓名</w:t>
            </w:r>
          </w:p>
        </w:tc>
        <w:tc>
          <w:tcPr>
            <w:tcW w:w="1284" w:type="dxa"/>
            <w:gridSpan w:val="2"/>
            <w:vAlign w:val="center"/>
          </w:tcPr>
          <w:p>
            <w:pPr>
              <w:spacing w:line="500" w:lineRule="exact"/>
              <w:rPr>
                <w:rFonts w:hint="eastAsia" w:ascii="宋体" w:hAnsi="宋体" w:eastAsia="宋体" w:cs="宋体"/>
                <w:kern w:val="0"/>
                <w:sz w:val="21"/>
                <w:szCs w:val="21"/>
              </w:rPr>
            </w:pPr>
          </w:p>
        </w:tc>
        <w:tc>
          <w:tcPr>
            <w:tcW w:w="1177"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技术职称</w:t>
            </w:r>
          </w:p>
        </w:tc>
        <w:tc>
          <w:tcPr>
            <w:tcW w:w="1327" w:type="dxa"/>
            <w:gridSpan w:val="2"/>
            <w:vAlign w:val="center"/>
          </w:tcPr>
          <w:p>
            <w:pPr>
              <w:spacing w:line="500" w:lineRule="exact"/>
              <w:rPr>
                <w:rFonts w:hint="eastAsia" w:ascii="宋体" w:hAnsi="宋体" w:eastAsia="宋体" w:cs="宋体"/>
                <w:kern w:val="0"/>
                <w:sz w:val="21"/>
                <w:szCs w:val="21"/>
              </w:rPr>
            </w:pPr>
          </w:p>
        </w:tc>
        <w:tc>
          <w:tcPr>
            <w:tcW w:w="1173" w:type="dxa"/>
            <w:gridSpan w:val="2"/>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电话</w:t>
            </w:r>
          </w:p>
        </w:tc>
        <w:tc>
          <w:tcPr>
            <w:tcW w:w="1651" w:type="dxa"/>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成立时间</w:t>
            </w:r>
          </w:p>
        </w:tc>
        <w:tc>
          <w:tcPr>
            <w:tcW w:w="1980" w:type="dxa"/>
            <w:gridSpan w:val="3"/>
            <w:vAlign w:val="center"/>
          </w:tcPr>
          <w:p>
            <w:pPr>
              <w:spacing w:line="500" w:lineRule="exact"/>
              <w:rPr>
                <w:rFonts w:hint="eastAsia" w:ascii="宋体" w:hAnsi="宋体" w:eastAsia="宋体" w:cs="宋体"/>
                <w:kern w:val="0"/>
                <w:sz w:val="21"/>
                <w:szCs w:val="21"/>
              </w:rPr>
            </w:pPr>
          </w:p>
        </w:tc>
        <w:tc>
          <w:tcPr>
            <w:tcW w:w="5328" w:type="dxa"/>
            <w:gridSpan w:val="6"/>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企业资质等级</w:t>
            </w:r>
          </w:p>
        </w:tc>
        <w:tc>
          <w:tcPr>
            <w:tcW w:w="1980" w:type="dxa"/>
            <w:gridSpan w:val="3"/>
            <w:vAlign w:val="center"/>
          </w:tcPr>
          <w:p>
            <w:pPr>
              <w:spacing w:line="500" w:lineRule="exact"/>
              <w:rPr>
                <w:rFonts w:hint="eastAsia" w:ascii="宋体" w:hAnsi="宋体" w:eastAsia="宋体" w:cs="宋体"/>
                <w:kern w:val="0"/>
                <w:sz w:val="21"/>
                <w:szCs w:val="21"/>
              </w:rPr>
            </w:pPr>
          </w:p>
        </w:tc>
        <w:tc>
          <w:tcPr>
            <w:tcW w:w="1177" w:type="dxa"/>
            <w:vMerge w:val="restart"/>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其中</w:t>
            </w:r>
          </w:p>
        </w:tc>
        <w:tc>
          <w:tcPr>
            <w:tcW w:w="1883" w:type="dxa"/>
            <w:gridSpan w:val="3"/>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项目经理</w:t>
            </w:r>
          </w:p>
        </w:tc>
        <w:tc>
          <w:tcPr>
            <w:tcW w:w="2268" w:type="dxa"/>
            <w:gridSpan w:val="2"/>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营业执照号</w:t>
            </w:r>
          </w:p>
        </w:tc>
        <w:tc>
          <w:tcPr>
            <w:tcW w:w="1980" w:type="dxa"/>
            <w:gridSpan w:val="3"/>
            <w:vAlign w:val="center"/>
          </w:tcPr>
          <w:p>
            <w:pPr>
              <w:spacing w:line="500" w:lineRule="exact"/>
              <w:rPr>
                <w:rFonts w:hint="eastAsia" w:ascii="宋体" w:hAnsi="宋体" w:eastAsia="宋体" w:cs="宋体"/>
                <w:kern w:val="0"/>
                <w:sz w:val="21"/>
                <w:szCs w:val="21"/>
              </w:rPr>
            </w:pPr>
          </w:p>
        </w:tc>
        <w:tc>
          <w:tcPr>
            <w:tcW w:w="1177" w:type="dxa"/>
            <w:vMerge w:val="continue"/>
            <w:vAlign w:val="center"/>
          </w:tcPr>
          <w:p>
            <w:pPr>
              <w:spacing w:line="500" w:lineRule="exact"/>
              <w:rPr>
                <w:rFonts w:hint="eastAsia" w:ascii="宋体" w:hAnsi="宋体" w:eastAsia="宋体" w:cs="宋体"/>
                <w:kern w:val="0"/>
                <w:sz w:val="21"/>
                <w:szCs w:val="21"/>
              </w:rPr>
            </w:pPr>
          </w:p>
        </w:tc>
        <w:tc>
          <w:tcPr>
            <w:tcW w:w="1883" w:type="dxa"/>
            <w:gridSpan w:val="3"/>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高级职称人员</w:t>
            </w:r>
          </w:p>
        </w:tc>
        <w:tc>
          <w:tcPr>
            <w:tcW w:w="2268" w:type="dxa"/>
            <w:gridSpan w:val="2"/>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注册资金</w:t>
            </w:r>
          </w:p>
        </w:tc>
        <w:tc>
          <w:tcPr>
            <w:tcW w:w="1980" w:type="dxa"/>
            <w:gridSpan w:val="3"/>
            <w:vAlign w:val="center"/>
          </w:tcPr>
          <w:p>
            <w:pPr>
              <w:spacing w:line="500" w:lineRule="exact"/>
              <w:rPr>
                <w:rFonts w:hint="eastAsia" w:ascii="宋体" w:hAnsi="宋体" w:eastAsia="宋体" w:cs="宋体"/>
                <w:kern w:val="0"/>
                <w:sz w:val="21"/>
                <w:szCs w:val="21"/>
              </w:rPr>
            </w:pPr>
          </w:p>
        </w:tc>
        <w:tc>
          <w:tcPr>
            <w:tcW w:w="1177" w:type="dxa"/>
            <w:vMerge w:val="continue"/>
            <w:vAlign w:val="center"/>
          </w:tcPr>
          <w:p>
            <w:pPr>
              <w:spacing w:line="500" w:lineRule="exact"/>
              <w:rPr>
                <w:rFonts w:hint="eastAsia" w:ascii="宋体" w:hAnsi="宋体" w:eastAsia="宋体" w:cs="宋体"/>
                <w:kern w:val="0"/>
                <w:sz w:val="21"/>
                <w:szCs w:val="21"/>
              </w:rPr>
            </w:pPr>
          </w:p>
        </w:tc>
        <w:tc>
          <w:tcPr>
            <w:tcW w:w="1883" w:type="dxa"/>
            <w:gridSpan w:val="3"/>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中级职称人员</w:t>
            </w:r>
          </w:p>
        </w:tc>
        <w:tc>
          <w:tcPr>
            <w:tcW w:w="2268" w:type="dxa"/>
            <w:gridSpan w:val="2"/>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开户银行</w:t>
            </w:r>
          </w:p>
        </w:tc>
        <w:tc>
          <w:tcPr>
            <w:tcW w:w="1980" w:type="dxa"/>
            <w:gridSpan w:val="3"/>
            <w:vAlign w:val="center"/>
          </w:tcPr>
          <w:p>
            <w:pPr>
              <w:spacing w:line="500" w:lineRule="exact"/>
              <w:rPr>
                <w:rFonts w:hint="eastAsia" w:ascii="宋体" w:hAnsi="宋体" w:eastAsia="宋体" w:cs="宋体"/>
                <w:kern w:val="0"/>
                <w:sz w:val="21"/>
                <w:szCs w:val="21"/>
              </w:rPr>
            </w:pPr>
          </w:p>
        </w:tc>
        <w:tc>
          <w:tcPr>
            <w:tcW w:w="1177" w:type="dxa"/>
            <w:vMerge w:val="continue"/>
            <w:vAlign w:val="center"/>
          </w:tcPr>
          <w:p>
            <w:pPr>
              <w:spacing w:line="500" w:lineRule="exact"/>
              <w:rPr>
                <w:rFonts w:hint="eastAsia" w:ascii="宋体" w:hAnsi="宋体" w:eastAsia="宋体" w:cs="宋体"/>
                <w:kern w:val="0"/>
                <w:sz w:val="21"/>
                <w:szCs w:val="21"/>
              </w:rPr>
            </w:pPr>
          </w:p>
        </w:tc>
        <w:tc>
          <w:tcPr>
            <w:tcW w:w="1883" w:type="dxa"/>
            <w:gridSpan w:val="3"/>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初级职称人员</w:t>
            </w:r>
          </w:p>
        </w:tc>
        <w:tc>
          <w:tcPr>
            <w:tcW w:w="2268" w:type="dxa"/>
            <w:gridSpan w:val="2"/>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账号</w:t>
            </w:r>
          </w:p>
        </w:tc>
        <w:tc>
          <w:tcPr>
            <w:tcW w:w="1980" w:type="dxa"/>
            <w:gridSpan w:val="3"/>
            <w:vAlign w:val="center"/>
          </w:tcPr>
          <w:p>
            <w:pPr>
              <w:spacing w:line="500" w:lineRule="exact"/>
              <w:rPr>
                <w:rFonts w:hint="eastAsia" w:ascii="宋体" w:hAnsi="宋体" w:eastAsia="宋体" w:cs="宋体"/>
                <w:kern w:val="0"/>
                <w:sz w:val="21"/>
                <w:szCs w:val="21"/>
              </w:rPr>
            </w:pPr>
          </w:p>
        </w:tc>
        <w:tc>
          <w:tcPr>
            <w:tcW w:w="1177" w:type="dxa"/>
            <w:vMerge w:val="continue"/>
            <w:vAlign w:val="center"/>
          </w:tcPr>
          <w:p>
            <w:pPr>
              <w:spacing w:line="500" w:lineRule="exact"/>
              <w:rPr>
                <w:rFonts w:hint="eastAsia" w:ascii="宋体" w:hAnsi="宋体" w:eastAsia="宋体" w:cs="宋体"/>
                <w:kern w:val="0"/>
                <w:sz w:val="21"/>
                <w:szCs w:val="21"/>
              </w:rPr>
            </w:pPr>
          </w:p>
        </w:tc>
        <w:tc>
          <w:tcPr>
            <w:tcW w:w="1883" w:type="dxa"/>
            <w:gridSpan w:val="3"/>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技工</w:t>
            </w:r>
          </w:p>
        </w:tc>
        <w:tc>
          <w:tcPr>
            <w:tcW w:w="2268" w:type="dxa"/>
            <w:gridSpan w:val="2"/>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经营范围</w:t>
            </w:r>
          </w:p>
        </w:tc>
        <w:tc>
          <w:tcPr>
            <w:tcW w:w="7308" w:type="dxa"/>
            <w:gridSpan w:val="9"/>
            <w:vAlign w:val="center"/>
          </w:tcPr>
          <w:p>
            <w:pPr>
              <w:spacing w:line="500" w:lineRule="exact"/>
              <w:rPr>
                <w:rFonts w:hint="eastAsia" w:ascii="宋体" w:hAnsi="宋体" w:eastAsia="宋体" w:cs="宋体"/>
                <w:b/>
                <w:bCs/>
                <w:kern w:val="0"/>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pPr>
              <w:spacing w:line="500" w:lineRule="exact"/>
              <w:rPr>
                <w:rFonts w:hint="eastAsia" w:ascii="宋体" w:hAnsi="宋体" w:eastAsia="宋体" w:cs="宋体"/>
                <w:kern w:val="0"/>
                <w:sz w:val="21"/>
                <w:szCs w:val="21"/>
              </w:rPr>
            </w:pPr>
            <w:r>
              <w:rPr>
                <w:rFonts w:hint="eastAsia" w:ascii="宋体" w:hAnsi="宋体" w:eastAsia="宋体" w:cs="宋体"/>
                <w:kern w:val="0"/>
                <w:sz w:val="21"/>
                <w:szCs w:val="21"/>
              </w:rPr>
              <w:t>备注</w:t>
            </w:r>
          </w:p>
        </w:tc>
        <w:tc>
          <w:tcPr>
            <w:tcW w:w="7308" w:type="dxa"/>
            <w:gridSpan w:val="9"/>
            <w:vAlign w:val="center"/>
          </w:tcPr>
          <w:p>
            <w:pPr>
              <w:spacing w:line="500" w:lineRule="exact"/>
              <w:rPr>
                <w:rFonts w:hint="eastAsia" w:ascii="宋体" w:hAnsi="宋体" w:eastAsia="宋体" w:cs="宋体"/>
                <w:kern w:val="0"/>
                <w:sz w:val="21"/>
                <w:szCs w:val="21"/>
              </w:rPr>
            </w:pPr>
          </w:p>
        </w:tc>
      </w:tr>
    </w:tbl>
    <w:p>
      <w:pPr>
        <w:spacing w:line="500" w:lineRule="exact"/>
        <w:rPr>
          <w:rFonts w:asciiTheme="minorEastAsia" w:hAnsiTheme="minorEastAsia" w:eastAsiaTheme="minorEastAsia"/>
          <w:b/>
          <w:szCs w:val="28"/>
        </w:rPr>
      </w:pP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投标人名称：        （盖章）</w:t>
      </w: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sz w:val="28"/>
          <w:szCs w:val="28"/>
        </w:rPr>
        <w:t>法定代表人或授权代表（签字）</w:t>
      </w:r>
      <w:r>
        <w:rPr>
          <w:rFonts w:hint="eastAsia" w:asciiTheme="minorEastAsia" w:hAnsiTheme="minorEastAsia" w:eastAsiaTheme="minorEastAsia"/>
          <w:bCs/>
          <w:sz w:val="28"/>
          <w:szCs w:val="28"/>
        </w:rPr>
        <w:t>：</w:t>
      </w:r>
    </w:p>
    <w:p>
      <w:pPr>
        <w:spacing w:line="50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投标日期:</w:t>
      </w:r>
    </w:p>
    <w:p>
      <w:pPr>
        <w:spacing w:line="500" w:lineRule="exact"/>
        <w:ind w:firstLine="616" w:firstLineChars="257"/>
        <w:rPr>
          <w:rFonts w:asciiTheme="minorEastAsia" w:hAnsiTheme="minorEastAsia" w:eastAsiaTheme="minorEastAsia"/>
        </w:rPr>
      </w:pPr>
    </w:p>
    <w:p>
      <w:pPr>
        <w:rPr>
          <w:rFonts w:asciiTheme="minorEastAsia" w:hAnsiTheme="minorEastAsia" w:eastAsiaTheme="minorEastAsia"/>
          <w:b/>
          <w:sz w:val="28"/>
          <w:szCs w:val="28"/>
        </w:rPr>
      </w:pPr>
    </w:p>
    <w:p>
      <w:pPr>
        <w:autoSpaceDE w:val="0"/>
        <w:autoSpaceDN w:val="0"/>
        <w:adjustRightInd w:val="0"/>
        <w:snapToGrid w:val="0"/>
        <w:spacing w:line="360" w:lineRule="auto"/>
        <w:jc w:val="left"/>
        <w:outlineLvl w:val="1"/>
        <w:rPr>
          <w:rFonts w:hint="eastAsia" w:ascii="仿宋" w:hAnsi="仿宋" w:eastAsia="仿宋" w:cs="仿宋"/>
          <w:b/>
          <w:snapToGrid w:val="0"/>
          <w:w w:val="99"/>
          <w:kern w:val="0"/>
          <w:sz w:val="28"/>
          <w:szCs w:val="28"/>
          <w:lang w:val="zh-CN"/>
        </w:rPr>
      </w:pPr>
      <w:r>
        <w:rPr>
          <w:rFonts w:hint="eastAsia" w:ascii="仿宋" w:hAnsi="仿宋" w:eastAsia="仿宋" w:cs="仿宋"/>
          <w:b/>
          <w:snapToGrid w:val="0"/>
          <w:w w:val="99"/>
          <w:kern w:val="0"/>
          <w:sz w:val="28"/>
          <w:szCs w:val="28"/>
          <w:lang w:val="zh-CN"/>
        </w:rPr>
        <w:t>四、折扣报价</w:t>
      </w:r>
    </w:p>
    <w:p>
      <w:pPr>
        <w:spacing w:line="500" w:lineRule="exact"/>
        <w:rPr>
          <w:rFonts w:hint="eastAsia" w:ascii="仿宋" w:hAnsi="仿宋" w:eastAsia="仿宋" w:cs="仿宋"/>
          <w:bCs/>
          <w:sz w:val="28"/>
          <w:szCs w:val="28"/>
        </w:rPr>
      </w:pPr>
      <w:r>
        <w:rPr>
          <w:rFonts w:hint="eastAsia" w:ascii="仿宋" w:hAnsi="仿宋" w:eastAsia="仿宋" w:cs="仿宋"/>
          <w:b/>
          <w:bCs/>
          <w:kern w:val="0"/>
          <w:sz w:val="28"/>
          <w:szCs w:val="28"/>
        </w:rPr>
        <w:t>（根据招标要求由投标人自行编写）</w:t>
      </w: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spacing w:line="500" w:lineRule="exact"/>
        <w:rPr>
          <w:rFonts w:asciiTheme="minorEastAsia" w:hAnsiTheme="minorEastAsia" w:eastAsiaTheme="minorEastAsia"/>
          <w:bCs/>
          <w:szCs w:val="28"/>
        </w:rPr>
      </w:pPr>
    </w:p>
    <w:p>
      <w:pP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t xml:space="preserve">五、相关资质证明及承诺                                          </w:t>
      </w:r>
    </w:p>
    <w:p>
      <w:pPr>
        <w:keepNext w:val="0"/>
        <w:keepLines w:val="0"/>
        <w:pageBreakBefore w:val="0"/>
        <w:widowControl w:val="0"/>
        <w:kinsoku/>
        <w:wordWrap/>
        <w:overflowPunct/>
        <w:topLinePunct w:val="0"/>
        <w:autoSpaceDE/>
        <w:autoSpaceDN/>
        <w:bidi w:val="0"/>
        <w:adjustRightInd/>
        <w:snapToGrid/>
        <w:spacing w:line="520" w:lineRule="exact"/>
        <w:ind w:firstLine="660" w:firstLineChars="236"/>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提供企业营业执照副本复印件；税务登记证复印件；组织机构代码证复印件（已三证合一提供营业执照，须加盖投标人公章）；</w:t>
      </w: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t>六、售后服务</w:t>
      </w:r>
    </w:p>
    <w:p>
      <w:pPr>
        <w:rPr>
          <w:rFonts w:asciiTheme="minorEastAsia" w:hAnsiTheme="minorEastAsia" w:eastAsiaTheme="minorEastAsia"/>
          <w:b/>
          <w:sz w:val="28"/>
          <w:szCs w:val="28"/>
        </w:rPr>
      </w:pPr>
    </w:p>
    <w:p>
      <w:pPr>
        <w:rPr>
          <w:rFonts w:hint="eastAsia" w:ascii="仿宋" w:hAnsi="仿宋" w:eastAsia="仿宋" w:cs="仿宋"/>
          <w:b/>
          <w:sz w:val="28"/>
          <w:szCs w:val="28"/>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rPr>
        <w:t>（根据招标要求由投标人自行编写）</w:t>
      </w:r>
    </w:p>
    <w:p>
      <w:pPr>
        <w:rPr>
          <w:rFonts w:hint="eastAsia" w:ascii="仿宋" w:hAnsi="仿宋" w:eastAsia="仿宋" w:cs="仿宋"/>
          <w:b/>
          <w:sz w:val="28"/>
          <w:szCs w:val="28"/>
        </w:rPr>
      </w:pPr>
      <w:r>
        <w:rPr>
          <w:rFonts w:hint="eastAsia" w:ascii="仿宋" w:hAnsi="仿宋" w:eastAsia="仿宋" w:cs="仿宋"/>
          <w:b/>
          <w:sz w:val="28"/>
          <w:szCs w:val="28"/>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年份</w:t>
            </w:r>
          </w:p>
        </w:tc>
        <w:tc>
          <w:tcPr>
            <w:tcW w:w="1239" w:type="dxa"/>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用户名称</w:t>
            </w:r>
          </w:p>
        </w:tc>
        <w:tc>
          <w:tcPr>
            <w:tcW w:w="1260" w:type="dxa"/>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项目名称</w:t>
            </w:r>
          </w:p>
        </w:tc>
        <w:tc>
          <w:tcPr>
            <w:tcW w:w="1620" w:type="dxa"/>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完成时间或在建</w:t>
            </w:r>
          </w:p>
        </w:tc>
        <w:tc>
          <w:tcPr>
            <w:tcW w:w="1620" w:type="dxa"/>
            <w:tcBorders>
              <w:right w:val="single" w:color="auto" w:sz="4" w:space="0"/>
            </w:tcBorders>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完成项目质量</w:t>
            </w:r>
          </w:p>
        </w:tc>
        <w:tc>
          <w:tcPr>
            <w:tcW w:w="1341" w:type="dxa"/>
            <w:tcBorders>
              <w:left w:val="single" w:color="auto" w:sz="4" w:space="0"/>
            </w:tcBorders>
            <w:vAlign w:val="center"/>
          </w:tcPr>
          <w:p>
            <w:pPr>
              <w:spacing w:line="500" w:lineRule="exact"/>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left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pPr>
              <w:spacing w:line="500" w:lineRule="exact"/>
              <w:jc w:val="center"/>
              <w:rPr>
                <w:rFonts w:hint="eastAsia" w:ascii="宋体" w:hAnsi="宋体" w:eastAsia="宋体" w:cs="宋体"/>
                <w:sz w:val="21"/>
                <w:szCs w:val="21"/>
              </w:rPr>
            </w:pPr>
          </w:p>
        </w:tc>
        <w:tc>
          <w:tcPr>
            <w:tcW w:w="1239" w:type="dxa"/>
            <w:vAlign w:val="center"/>
          </w:tcPr>
          <w:p>
            <w:pPr>
              <w:spacing w:line="500" w:lineRule="exact"/>
              <w:jc w:val="center"/>
              <w:rPr>
                <w:rFonts w:hint="eastAsia" w:ascii="宋体" w:hAnsi="宋体" w:eastAsia="宋体" w:cs="宋体"/>
                <w:sz w:val="21"/>
                <w:szCs w:val="21"/>
              </w:rPr>
            </w:pPr>
          </w:p>
        </w:tc>
        <w:tc>
          <w:tcPr>
            <w:tcW w:w="1260" w:type="dxa"/>
            <w:vAlign w:val="center"/>
          </w:tcPr>
          <w:p>
            <w:pPr>
              <w:spacing w:line="500" w:lineRule="exact"/>
              <w:jc w:val="center"/>
              <w:rPr>
                <w:rFonts w:hint="eastAsia" w:ascii="宋体" w:hAnsi="宋体" w:eastAsia="宋体" w:cs="宋体"/>
                <w:sz w:val="21"/>
                <w:szCs w:val="21"/>
              </w:rPr>
            </w:pPr>
          </w:p>
        </w:tc>
        <w:tc>
          <w:tcPr>
            <w:tcW w:w="1620" w:type="dxa"/>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bottom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left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top w:val="single" w:color="auto" w:sz="4" w:space="0"/>
              <w:left w:val="single" w:color="auto" w:sz="4" w:space="0"/>
              <w:bottom w:val="single" w:color="auto" w:sz="4" w:space="0"/>
            </w:tcBorders>
            <w:vAlign w:val="center"/>
          </w:tcPr>
          <w:p>
            <w:pPr>
              <w:spacing w:line="50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pPr>
              <w:spacing w:line="500" w:lineRule="exact"/>
              <w:jc w:val="center"/>
              <w:rPr>
                <w:rFonts w:hint="eastAsia" w:ascii="宋体" w:hAnsi="宋体" w:eastAsia="宋体" w:cs="宋体"/>
                <w:sz w:val="21"/>
                <w:szCs w:val="21"/>
              </w:rPr>
            </w:pPr>
          </w:p>
        </w:tc>
        <w:tc>
          <w:tcPr>
            <w:tcW w:w="1239" w:type="dxa"/>
            <w:tcBorders>
              <w:top w:val="single" w:color="auto" w:sz="4" w:space="0"/>
            </w:tcBorders>
            <w:vAlign w:val="center"/>
          </w:tcPr>
          <w:p>
            <w:pPr>
              <w:spacing w:line="500" w:lineRule="exact"/>
              <w:jc w:val="center"/>
              <w:rPr>
                <w:rFonts w:hint="eastAsia" w:ascii="宋体" w:hAnsi="宋体" w:eastAsia="宋体" w:cs="宋体"/>
                <w:sz w:val="21"/>
                <w:szCs w:val="21"/>
              </w:rPr>
            </w:pPr>
          </w:p>
        </w:tc>
        <w:tc>
          <w:tcPr>
            <w:tcW w:w="1260" w:type="dxa"/>
            <w:tcBorders>
              <w:top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tcBorders>
            <w:vAlign w:val="center"/>
          </w:tcPr>
          <w:p>
            <w:pPr>
              <w:spacing w:line="500" w:lineRule="exact"/>
              <w:jc w:val="center"/>
              <w:rPr>
                <w:rFonts w:hint="eastAsia" w:ascii="宋体" w:hAnsi="宋体" w:eastAsia="宋体" w:cs="宋体"/>
                <w:sz w:val="21"/>
                <w:szCs w:val="21"/>
              </w:rPr>
            </w:pPr>
          </w:p>
        </w:tc>
        <w:tc>
          <w:tcPr>
            <w:tcW w:w="1620" w:type="dxa"/>
            <w:tcBorders>
              <w:top w:val="single" w:color="auto" w:sz="4" w:space="0"/>
              <w:left w:val="single" w:color="auto" w:sz="4" w:space="0"/>
              <w:right w:val="single" w:color="auto" w:sz="4" w:space="0"/>
            </w:tcBorders>
            <w:vAlign w:val="center"/>
          </w:tcPr>
          <w:p>
            <w:pPr>
              <w:spacing w:line="500" w:lineRule="exact"/>
              <w:jc w:val="center"/>
              <w:rPr>
                <w:rFonts w:hint="eastAsia" w:ascii="宋体" w:hAnsi="宋体" w:eastAsia="宋体" w:cs="宋体"/>
                <w:sz w:val="21"/>
                <w:szCs w:val="21"/>
              </w:rPr>
            </w:pPr>
          </w:p>
        </w:tc>
        <w:tc>
          <w:tcPr>
            <w:tcW w:w="1341" w:type="dxa"/>
            <w:tcBorders>
              <w:top w:val="single" w:color="auto" w:sz="4" w:space="0"/>
              <w:left w:val="single" w:color="auto" w:sz="4" w:space="0"/>
            </w:tcBorders>
            <w:vAlign w:val="center"/>
          </w:tcPr>
          <w:p>
            <w:pPr>
              <w:spacing w:line="500" w:lineRule="exact"/>
              <w:jc w:val="center"/>
              <w:rPr>
                <w:rFonts w:hint="eastAsia" w:ascii="宋体" w:hAnsi="宋体" w:eastAsia="宋体" w:cs="宋体"/>
                <w:sz w:val="21"/>
                <w:szCs w:val="21"/>
              </w:rPr>
            </w:pPr>
          </w:p>
        </w:tc>
      </w:tr>
    </w:tbl>
    <w:p>
      <w:pPr>
        <w:spacing w:line="400" w:lineRule="exact"/>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投标人以上业绩需提供有关书面证明材料。</w:t>
      </w:r>
    </w:p>
    <w:p>
      <w:pPr>
        <w:spacing w:line="400" w:lineRule="exact"/>
        <w:ind w:firstLine="210" w:firstLineChars="75"/>
        <w:rPr>
          <w:rFonts w:hint="eastAsia" w:ascii="仿宋" w:hAnsi="仿宋" w:eastAsia="仿宋" w:cs="仿宋"/>
          <w:sz w:val="28"/>
          <w:szCs w:val="28"/>
        </w:rPr>
      </w:pPr>
    </w:p>
    <w:p>
      <w:pPr>
        <w:spacing w:line="400" w:lineRule="exact"/>
        <w:ind w:firstLine="210" w:firstLineChars="75"/>
        <w:rPr>
          <w:rFonts w:hint="eastAsia" w:ascii="仿宋" w:hAnsi="仿宋" w:eastAsia="仿宋" w:cs="仿宋"/>
          <w:sz w:val="28"/>
          <w:szCs w:val="28"/>
        </w:rPr>
      </w:pPr>
    </w:p>
    <w:p>
      <w:pPr>
        <w:spacing w:line="360" w:lineRule="exact"/>
        <w:rPr>
          <w:rFonts w:hint="eastAsia" w:ascii="仿宋" w:hAnsi="仿宋" w:eastAsia="仿宋" w:cs="仿宋"/>
          <w:sz w:val="28"/>
          <w:szCs w:val="28"/>
        </w:rPr>
      </w:pPr>
      <w:r>
        <w:rPr>
          <w:rFonts w:hint="eastAsia" w:ascii="仿宋" w:hAnsi="仿宋" w:eastAsia="仿宋" w:cs="仿宋"/>
          <w:sz w:val="28"/>
          <w:szCs w:val="28"/>
        </w:rPr>
        <w:t>投标人名称：         （盖章）</w:t>
      </w:r>
    </w:p>
    <w:p>
      <w:pPr>
        <w:spacing w:line="500" w:lineRule="exact"/>
        <w:rPr>
          <w:rFonts w:hint="eastAsia"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bCs/>
          <w:sz w:val="28"/>
          <w:szCs w:val="28"/>
        </w:rPr>
        <w:t>：</w:t>
      </w: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投标日期:</w:t>
      </w:r>
    </w:p>
    <w:p>
      <w:pPr>
        <w:rPr>
          <w:rFonts w:asciiTheme="minorEastAsia" w:hAnsiTheme="minorEastAsia" w:eastAsiaTheme="minorEastAsia"/>
          <w:b/>
          <w:sz w:val="28"/>
          <w:szCs w:val="28"/>
        </w:rPr>
        <w:sectPr>
          <w:pgSz w:w="11906" w:h="16838"/>
          <w:pgMar w:top="1440" w:right="1841" w:bottom="1440" w:left="1800" w:header="851" w:footer="992" w:gutter="0"/>
          <w:pgNumType w:chapStyle="1"/>
          <w:cols w:space="425" w:num="1"/>
          <w:docGrid w:linePitch="312" w:charSpace="0"/>
        </w:sectPr>
      </w:pPr>
    </w:p>
    <w:p>
      <w:pPr>
        <w:rPr>
          <w:rFonts w:asciiTheme="minorEastAsia" w:hAnsiTheme="minorEastAsia" w:eastAsiaTheme="minorEastAsia"/>
          <w:sz w:val="18"/>
          <w:szCs w:val="18"/>
        </w:rPr>
      </w:pPr>
    </w:p>
    <w:p>
      <w:pPr>
        <w:snapToGrid w:val="0"/>
        <w:spacing w:line="500" w:lineRule="exact"/>
        <w:ind w:firstLine="275" w:firstLineChars="98"/>
        <w:rPr>
          <w:rFonts w:hint="eastAsia" w:ascii="仿宋" w:hAnsi="仿宋" w:eastAsia="仿宋" w:cs="仿宋"/>
          <w:b/>
          <w:sz w:val="28"/>
          <w:szCs w:val="28"/>
        </w:rPr>
      </w:pPr>
      <w:r>
        <w:rPr>
          <w:rFonts w:hint="eastAsia" w:ascii="仿宋" w:hAnsi="仿宋" w:eastAsia="仿宋" w:cs="仿宋"/>
          <w:b/>
          <w:sz w:val="28"/>
          <w:szCs w:val="28"/>
        </w:rPr>
        <w:t>八、2021年财务报表</w:t>
      </w:r>
    </w:p>
    <w:p>
      <w:pPr>
        <w:widowControl/>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snapToGrid w:val="0"/>
        <w:spacing w:line="520" w:lineRule="exact"/>
        <w:ind w:left="481" w:leftChars="86" w:hanging="275" w:hangingChars="98"/>
        <w:textAlignment w:val="auto"/>
        <w:rPr>
          <w:rFonts w:hint="eastAsia" w:ascii="仿宋" w:hAnsi="仿宋" w:eastAsia="仿宋" w:cs="仿宋"/>
          <w:b/>
          <w:sz w:val="28"/>
          <w:szCs w:val="28"/>
        </w:rPr>
      </w:pPr>
      <w:r>
        <w:rPr>
          <w:rFonts w:hint="eastAsia" w:ascii="仿宋" w:hAnsi="仿宋" w:eastAsia="仿宋" w:cs="仿宋"/>
          <w:b/>
          <w:bCs/>
          <w:kern w:val="0"/>
          <w:sz w:val="28"/>
          <w:szCs w:val="28"/>
        </w:rPr>
        <w:t xml:space="preserve">（根据招标要求由投标人自行编写） </w:t>
      </w:r>
      <w:r>
        <w:rPr>
          <w:rFonts w:hint="eastAsia" w:asciiTheme="minorEastAsia" w:hAnsiTheme="minorEastAsia" w:eastAsiaTheme="minorEastAsia"/>
          <w:sz w:val="18"/>
          <w:szCs w:val="18"/>
        </w:rPr>
        <w:br w:type="page"/>
      </w:r>
      <w:r>
        <w:rPr>
          <w:rFonts w:hint="eastAsia" w:ascii="仿宋" w:hAnsi="仿宋" w:eastAsia="仿宋" w:cs="仿宋"/>
          <w:b/>
          <w:sz w:val="28"/>
          <w:szCs w:val="28"/>
        </w:rPr>
        <w:t>九、承诺函</w:t>
      </w:r>
    </w:p>
    <w:p>
      <w:pPr>
        <w:keepNext w:val="0"/>
        <w:keepLines w:val="0"/>
        <w:pageBreakBefore w:val="0"/>
        <w:widowControl w:val="0"/>
        <w:kinsoku/>
        <w:wordWrap/>
        <w:overflowPunct/>
        <w:topLinePunct w:val="0"/>
        <w:autoSpaceDE/>
        <w:autoSpaceDN/>
        <w:bidi w:val="0"/>
        <w:spacing w:line="520" w:lineRule="exact"/>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__________________（采购人）：</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sz w:val="28"/>
          <w:szCs w:val="28"/>
        </w:rPr>
      </w:pPr>
    </w:p>
    <w:p>
      <w:pPr>
        <w:ind w:firstLine="420"/>
        <w:rPr>
          <w:rFonts w:asciiTheme="minorEastAsia" w:hAnsiTheme="minorEastAsia" w:eastAsiaTheme="minorEastAsia"/>
        </w:rPr>
      </w:pPr>
      <w:r>
        <w:rPr>
          <w:rFonts w:hint="eastAsia" w:asciiTheme="minorEastAsia" w:hAnsiTheme="minorEastAsia" w:eastAsiaTheme="minorEastAsia"/>
        </w:rPr>
        <w:t>本公司作为参加本次招标的供应商，郑重承诺具备以下条件（《政府采购法》第二十二条）：</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1、具有独立承担民事责任的能力；</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 xml:space="preserve">2、具有良好的商业信誉和健全的财务会计制度； </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3、具有依法缴纳税收和社会保障资金的良好纪录；</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4、具有履行合同所必需的专业技术能力和公司规模；</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5、参加政府采购活动前三年内，没有骗取中标行为，无不正当理由放弃中标（成交）行为，未进行过恶意投诉，在经营活动中没有违法、违规记录；</w:t>
      </w:r>
    </w:p>
    <w:p>
      <w:pPr>
        <w:spacing w:line="420" w:lineRule="exact"/>
        <w:ind w:firstLine="600" w:firstLineChars="250"/>
        <w:jc w:val="left"/>
        <w:rPr>
          <w:rFonts w:asciiTheme="minorEastAsia" w:hAnsiTheme="minorEastAsia" w:eastAsiaTheme="minorEastAsia"/>
        </w:rPr>
      </w:pPr>
      <w:r>
        <w:rPr>
          <w:rFonts w:hint="eastAsia" w:asciiTheme="minorEastAsia" w:hAnsiTheme="minorEastAsia" w:eastAsiaTheme="minorEastAsia"/>
        </w:rPr>
        <w:t>6、具有完善的质量保证和售后服务体系；</w:t>
      </w:r>
    </w:p>
    <w:p>
      <w:pPr>
        <w:spacing w:line="400" w:lineRule="exact"/>
        <w:ind w:firstLine="480" w:firstLineChars="200"/>
        <w:rPr>
          <w:rFonts w:asciiTheme="minorEastAsia" w:hAnsiTheme="minorEastAsia" w:eastAsiaTheme="minorEastAsia"/>
        </w:rPr>
      </w:pPr>
      <w:r>
        <w:rPr>
          <w:rFonts w:hint="eastAsia" w:asciiTheme="minorEastAsia" w:hAnsiTheme="minorEastAsia" w:eastAsiaTheme="minorEastAsia"/>
        </w:rPr>
        <w:br w:type="textWrapping"/>
      </w:r>
    </w:p>
    <w:p>
      <w:pPr>
        <w:spacing w:line="400" w:lineRule="exact"/>
        <w:ind w:firstLine="360" w:firstLineChars="150"/>
        <w:rPr>
          <w:rFonts w:asciiTheme="minorEastAsia" w:hAnsiTheme="minorEastAsia" w:eastAsiaTheme="minorEastAsia"/>
        </w:rPr>
      </w:pPr>
      <w:r>
        <w:rPr>
          <w:rFonts w:hint="eastAsia" w:asciiTheme="minorEastAsia" w:hAnsiTheme="minorEastAsia" w:eastAsiaTheme="minorEastAsia"/>
        </w:rPr>
        <w:t>本公司对上述承诺的真实性负责。如有虚假，将依法承担相应责任。</w:t>
      </w:r>
    </w:p>
    <w:p>
      <w:pPr>
        <w:snapToGrid w:val="0"/>
        <w:spacing w:line="500" w:lineRule="exact"/>
        <w:rPr>
          <w:rFonts w:asciiTheme="minorEastAsia" w:hAnsiTheme="minorEastAsia" w:eastAsiaTheme="minorEastAsia"/>
          <w:b/>
          <w:bCs/>
          <w:kern w:val="0"/>
          <w:sz w:val="21"/>
          <w:szCs w:val="21"/>
        </w:rPr>
      </w:pPr>
    </w:p>
    <w:p>
      <w:pPr>
        <w:snapToGrid w:val="0"/>
        <w:spacing w:line="500" w:lineRule="exact"/>
        <w:rPr>
          <w:rFonts w:asciiTheme="minorEastAsia" w:hAnsiTheme="minorEastAsia" w:eastAsiaTheme="minorEastAsia"/>
          <w:b/>
          <w:bCs/>
          <w:kern w:val="0"/>
          <w:sz w:val="21"/>
          <w:szCs w:val="21"/>
        </w:rPr>
      </w:pPr>
    </w:p>
    <w:p>
      <w:pPr>
        <w:snapToGrid w:val="0"/>
        <w:spacing w:line="500" w:lineRule="exact"/>
        <w:rPr>
          <w:rFonts w:asciiTheme="minorEastAsia" w:hAnsiTheme="minorEastAsia" w:eastAsiaTheme="minorEastAsia"/>
          <w:b/>
          <w:bCs/>
          <w:kern w:val="0"/>
          <w:sz w:val="21"/>
          <w:szCs w:val="21"/>
        </w:rPr>
      </w:pPr>
    </w:p>
    <w:p>
      <w:pPr>
        <w:snapToGrid w:val="0"/>
        <w:spacing w:line="500" w:lineRule="exact"/>
        <w:rPr>
          <w:rFonts w:asciiTheme="minorEastAsia" w:hAnsiTheme="minorEastAsia" w:eastAsiaTheme="minorEastAsia"/>
          <w:b/>
          <w:bCs/>
          <w:kern w:val="0"/>
          <w:sz w:val="21"/>
          <w:szCs w:val="21"/>
        </w:rPr>
      </w:pPr>
    </w:p>
    <w:p>
      <w:pPr>
        <w:spacing w:line="420" w:lineRule="exact"/>
        <w:ind w:firstLine="600" w:firstLineChars="250"/>
        <w:jc w:val="left"/>
        <w:rPr>
          <w:rFonts w:hint="eastAsia" w:asciiTheme="minorEastAsia" w:hAnsiTheme="minorEastAsia" w:eastAsiaTheme="minorEastAsia"/>
        </w:rPr>
      </w:pPr>
      <w:r>
        <w:rPr>
          <w:rFonts w:hint="eastAsia" w:asciiTheme="minorEastAsia" w:hAnsiTheme="minorEastAsia" w:eastAsiaTheme="minorEastAsia"/>
        </w:rPr>
        <w:t>供应商名称：         （盖章）</w:t>
      </w:r>
    </w:p>
    <w:p>
      <w:pPr>
        <w:spacing w:line="420" w:lineRule="exact"/>
        <w:ind w:firstLine="600" w:firstLineChars="250"/>
        <w:jc w:val="left"/>
        <w:rPr>
          <w:rFonts w:hint="eastAsia" w:asciiTheme="minorEastAsia" w:hAnsiTheme="minorEastAsia" w:eastAsiaTheme="minorEastAsia"/>
        </w:rPr>
      </w:pPr>
    </w:p>
    <w:p>
      <w:pPr>
        <w:spacing w:line="420" w:lineRule="exact"/>
        <w:ind w:firstLine="600" w:firstLineChars="250"/>
        <w:jc w:val="left"/>
        <w:rPr>
          <w:rFonts w:hint="eastAsia" w:asciiTheme="minorEastAsia" w:hAnsiTheme="minorEastAsia" w:eastAsiaTheme="minorEastAsia"/>
        </w:rPr>
      </w:pPr>
      <w:r>
        <w:rPr>
          <w:rFonts w:hint="eastAsia" w:asciiTheme="minorEastAsia" w:hAnsiTheme="minorEastAsia" w:eastAsiaTheme="minorEastAsia"/>
        </w:rPr>
        <w:t>法定代表人或授权代表（签字或盖章）：</w:t>
      </w:r>
    </w:p>
    <w:p>
      <w:pPr>
        <w:spacing w:line="420" w:lineRule="exact"/>
        <w:ind w:firstLine="600" w:firstLineChars="250"/>
        <w:jc w:val="left"/>
        <w:rPr>
          <w:rFonts w:hint="eastAsia" w:asciiTheme="minorEastAsia" w:hAnsiTheme="minorEastAsia" w:eastAsiaTheme="minorEastAsia"/>
        </w:rPr>
      </w:pPr>
    </w:p>
    <w:p>
      <w:pPr>
        <w:spacing w:line="420" w:lineRule="exact"/>
        <w:ind w:firstLine="600" w:firstLineChars="250"/>
        <w:jc w:val="left"/>
        <w:rPr>
          <w:rFonts w:hint="eastAsia" w:asciiTheme="minorEastAsia" w:hAnsiTheme="minorEastAsia" w:eastAsiaTheme="minorEastAsia"/>
        </w:rPr>
      </w:pPr>
      <w:r>
        <w:rPr>
          <w:rFonts w:hint="eastAsia" w:asciiTheme="minorEastAsia" w:hAnsiTheme="minorEastAsia" w:eastAsiaTheme="minorEastAsia"/>
        </w:rPr>
        <w:t>日期:</w:t>
      </w:r>
    </w:p>
    <w:p>
      <w:pPr>
        <w:snapToGrid w:val="0"/>
        <w:spacing w:line="500" w:lineRule="exact"/>
        <w:rPr>
          <w:rFonts w:asciiTheme="minorEastAsia" w:hAnsiTheme="minorEastAsia" w:eastAsiaTheme="minorEastAsia"/>
          <w:b/>
          <w:bCs/>
          <w:kern w:val="0"/>
          <w:sz w:val="21"/>
          <w:szCs w:val="21"/>
        </w:rPr>
        <w:sectPr>
          <w:pgSz w:w="11907" w:h="16840"/>
          <w:pgMar w:top="1440" w:right="1466" w:bottom="1440" w:left="1440" w:header="851" w:footer="992" w:gutter="0"/>
          <w:cols w:space="425" w:num="1"/>
          <w:docGrid w:linePitch="312" w:charSpace="0"/>
        </w:sectPr>
      </w:pPr>
    </w:p>
    <w:p>
      <w:pPr>
        <w:adjustRightInd w:val="0"/>
        <w:spacing w:line="480" w:lineRule="auto"/>
        <w:jc w:val="left"/>
        <w:rPr>
          <w:rFonts w:hint="eastAsia" w:ascii="仿宋" w:hAnsi="仿宋" w:eastAsia="仿宋" w:cs="仿宋"/>
          <w:b/>
          <w:sz w:val="28"/>
          <w:szCs w:val="28"/>
        </w:rPr>
      </w:pPr>
      <w:r>
        <w:rPr>
          <w:rFonts w:hint="eastAsia" w:ascii="仿宋" w:hAnsi="仿宋" w:eastAsia="仿宋" w:cs="仿宋"/>
          <w:b/>
          <w:sz w:val="28"/>
          <w:szCs w:val="28"/>
        </w:rPr>
        <w:t>十、其他</w:t>
      </w: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198897"/>
    </w:sdtPr>
    <w:sdtContent>
      <w:p>
        <w:pPr>
          <w:pStyle w:val="27"/>
          <w:jc w:val="center"/>
        </w:pPr>
      </w:p>
    </w:sdtContent>
  </w:sdt>
  <w:p>
    <w:pPr>
      <w:pStyle w:val="2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701804"/>
    </w:sdtPr>
    <w:sdtContent>
      <w:p>
        <w:pPr>
          <w:pStyle w:val="27"/>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color w:val="000000" w:themeColor="text1"/>
        <w:sz w:val="18"/>
        <w:szCs w:val="18"/>
      </w:rPr>
    </w:pPr>
    <w:r>
      <w:rPr>
        <w:rFonts w:hint="eastAsia" w:ascii="宋体" w:hAnsi="宋体"/>
        <w:color w:val="000000" w:themeColor="text1"/>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64DD7"/>
    <w:multiLevelType w:val="singleLevel"/>
    <w:tmpl w:val="D1F64DD7"/>
    <w:lvl w:ilvl="0" w:tentative="0">
      <w:start w:val="1"/>
      <w:numFmt w:val="chineseCounting"/>
      <w:suff w:val="space"/>
      <w:lvlText w:val="第%1章"/>
      <w:lvlJc w:val="left"/>
      <w:rPr>
        <w:rFonts w:hint="eastAsia"/>
      </w:rPr>
    </w:lvl>
  </w:abstractNum>
  <w:abstractNum w:abstractNumId="1">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4">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pStyle w:val="174"/>
      <w:lvlText w:val="%2)"/>
      <w:lvlJc w:val="left"/>
      <w:pPr>
        <w:tabs>
          <w:tab w:val="left" w:pos="1441"/>
        </w:tabs>
        <w:ind w:left="1441" w:hanging="420"/>
      </w:pPr>
    </w:lvl>
    <w:lvl w:ilvl="2" w:tentative="0">
      <w:start w:val="1"/>
      <w:numFmt w:val="lowerRoman"/>
      <w:pStyle w:val="164"/>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8">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6"/>
  </w:num>
  <w:num w:numId="5">
    <w:abstractNumId w:val="8"/>
  </w:num>
  <w:num w:numId="6">
    <w:abstractNumId w:val="5"/>
  </w:num>
  <w:num w:numId="7">
    <w:abstractNumId w:val="7"/>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NotTrackMoves/>
  <w:doNotTrackFormatting/>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k1NGFlMjAxZDFlZTNiMWI1ZGU4NzhjYjQ5YmI3MzIifQ=="/>
  </w:docVars>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E40"/>
    <w:rsid w:val="000317CE"/>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7ED4"/>
    <w:rsid w:val="0009171A"/>
    <w:rsid w:val="0009276D"/>
    <w:rsid w:val="0009297F"/>
    <w:rsid w:val="00092E07"/>
    <w:rsid w:val="00093A6C"/>
    <w:rsid w:val="00093D03"/>
    <w:rsid w:val="00094237"/>
    <w:rsid w:val="00095BC8"/>
    <w:rsid w:val="000A07EB"/>
    <w:rsid w:val="000A1801"/>
    <w:rsid w:val="000A2528"/>
    <w:rsid w:val="000A5826"/>
    <w:rsid w:val="000A6B76"/>
    <w:rsid w:val="000A71D8"/>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D164D"/>
    <w:rsid w:val="000D1E42"/>
    <w:rsid w:val="000D339C"/>
    <w:rsid w:val="000D4AF9"/>
    <w:rsid w:val="000D504F"/>
    <w:rsid w:val="000D7315"/>
    <w:rsid w:val="000D77DB"/>
    <w:rsid w:val="000D7B0B"/>
    <w:rsid w:val="000E0B71"/>
    <w:rsid w:val="000E0E5F"/>
    <w:rsid w:val="000E27CB"/>
    <w:rsid w:val="000E32C8"/>
    <w:rsid w:val="000E3739"/>
    <w:rsid w:val="000E37BC"/>
    <w:rsid w:val="000E6ADF"/>
    <w:rsid w:val="000E6D8B"/>
    <w:rsid w:val="000E7053"/>
    <w:rsid w:val="000F0662"/>
    <w:rsid w:val="000F0869"/>
    <w:rsid w:val="000F0D6E"/>
    <w:rsid w:val="000F1581"/>
    <w:rsid w:val="000F19BC"/>
    <w:rsid w:val="000F2AE7"/>
    <w:rsid w:val="000F426A"/>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9C8"/>
    <w:rsid w:val="00156F52"/>
    <w:rsid w:val="00157FB9"/>
    <w:rsid w:val="00164563"/>
    <w:rsid w:val="00165A73"/>
    <w:rsid w:val="0017033D"/>
    <w:rsid w:val="0017061E"/>
    <w:rsid w:val="00170827"/>
    <w:rsid w:val="00170E76"/>
    <w:rsid w:val="00172E7E"/>
    <w:rsid w:val="001773C5"/>
    <w:rsid w:val="00177F2F"/>
    <w:rsid w:val="00180485"/>
    <w:rsid w:val="001804B7"/>
    <w:rsid w:val="00180F57"/>
    <w:rsid w:val="00181832"/>
    <w:rsid w:val="00182425"/>
    <w:rsid w:val="001829B9"/>
    <w:rsid w:val="00182F86"/>
    <w:rsid w:val="001832E4"/>
    <w:rsid w:val="00183BC7"/>
    <w:rsid w:val="00183D97"/>
    <w:rsid w:val="00185C1F"/>
    <w:rsid w:val="00185F25"/>
    <w:rsid w:val="001861AC"/>
    <w:rsid w:val="00186657"/>
    <w:rsid w:val="00186B61"/>
    <w:rsid w:val="00187256"/>
    <w:rsid w:val="00190815"/>
    <w:rsid w:val="00190F4A"/>
    <w:rsid w:val="001925E6"/>
    <w:rsid w:val="001937E8"/>
    <w:rsid w:val="00193CEE"/>
    <w:rsid w:val="00194958"/>
    <w:rsid w:val="00195213"/>
    <w:rsid w:val="00195656"/>
    <w:rsid w:val="001956AD"/>
    <w:rsid w:val="001A29F1"/>
    <w:rsid w:val="001A2DA9"/>
    <w:rsid w:val="001A2EFE"/>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D07B5"/>
    <w:rsid w:val="001D08C7"/>
    <w:rsid w:val="001D0BD5"/>
    <w:rsid w:val="001D1716"/>
    <w:rsid w:val="001D1EE7"/>
    <w:rsid w:val="001D259D"/>
    <w:rsid w:val="001D2BB8"/>
    <w:rsid w:val="001D3500"/>
    <w:rsid w:val="001D3999"/>
    <w:rsid w:val="001D3AF0"/>
    <w:rsid w:val="001D3BA9"/>
    <w:rsid w:val="001D3BBF"/>
    <w:rsid w:val="001D4A5E"/>
    <w:rsid w:val="001D4B0D"/>
    <w:rsid w:val="001D686E"/>
    <w:rsid w:val="001D6C36"/>
    <w:rsid w:val="001D7979"/>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4426"/>
    <w:rsid w:val="00214D4A"/>
    <w:rsid w:val="00215319"/>
    <w:rsid w:val="002159A1"/>
    <w:rsid w:val="00217338"/>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5DDD"/>
    <w:rsid w:val="00236BA2"/>
    <w:rsid w:val="002407B1"/>
    <w:rsid w:val="00240EF3"/>
    <w:rsid w:val="0024184C"/>
    <w:rsid w:val="00242CA1"/>
    <w:rsid w:val="00243230"/>
    <w:rsid w:val="0024347B"/>
    <w:rsid w:val="002438CE"/>
    <w:rsid w:val="002441A5"/>
    <w:rsid w:val="00244571"/>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5E18"/>
    <w:rsid w:val="00285FD6"/>
    <w:rsid w:val="002906D5"/>
    <w:rsid w:val="00291A4A"/>
    <w:rsid w:val="0029239A"/>
    <w:rsid w:val="00292D3B"/>
    <w:rsid w:val="00297763"/>
    <w:rsid w:val="002A102B"/>
    <w:rsid w:val="002A2160"/>
    <w:rsid w:val="002A263E"/>
    <w:rsid w:val="002A3112"/>
    <w:rsid w:val="002A5BF1"/>
    <w:rsid w:val="002A6695"/>
    <w:rsid w:val="002A7929"/>
    <w:rsid w:val="002B0609"/>
    <w:rsid w:val="002B100C"/>
    <w:rsid w:val="002B1BA1"/>
    <w:rsid w:val="002B1C30"/>
    <w:rsid w:val="002B401F"/>
    <w:rsid w:val="002B43CE"/>
    <w:rsid w:val="002B6050"/>
    <w:rsid w:val="002B6BB1"/>
    <w:rsid w:val="002B6F92"/>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732"/>
    <w:rsid w:val="002F3CF4"/>
    <w:rsid w:val="002F4F77"/>
    <w:rsid w:val="002F63A1"/>
    <w:rsid w:val="002F74CF"/>
    <w:rsid w:val="00301F2D"/>
    <w:rsid w:val="00303480"/>
    <w:rsid w:val="003068F5"/>
    <w:rsid w:val="00306DB2"/>
    <w:rsid w:val="00310099"/>
    <w:rsid w:val="003111C3"/>
    <w:rsid w:val="00311A6C"/>
    <w:rsid w:val="003130E3"/>
    <w:rsid w:val="003145D6"/>
    <w:rsid w:val="003177C0"/>
    <w:rsid w:val="00317B73"/>
    <w:rsid w:val="00317E4F"/>
    <w:rsid w:val="00320E63"/>
    <w:rsid w:val="00321DBA"/>
    <w:rsid w:val="00321EE0"/>
    <w:rsid w:val="00322D1B"/>
    <w:rsid w:val="00327D55"/>
    <w:rsid w:val="003320DE"/>
    <w:rsid w:val="00337F1F"/>
    <w:rsid w:val="00337FFE"/>
    <w:rsid w:val="00340410"/>
    <w:rsid w:val="00340866"/>
    <w:rsid w:val="00340F38"/>
    <w:rsid w:val="00342CC4"/>
    <w:rsid w:val="003444C0"/>
    <w:rsid w:val="00346A16"/>
    <w:rsid w:val="0035030B"/>
    <w:rsid w:val="00350FCA"/>
    <w:rsid w:val="0035197B"/>
    <w:rsid w:val="00351FCC"/>
    <w:rsid w:val="003525E1"/>
    <w:rsid w:val="00352B0D"/>
    <w:rsid w:val="00354248"/>
    <w:rsid w:val="003546A4"/>
    <w:rsid w:val="0035507A"/>
    <w:rsid w:val="003553E3"/>
    <w:rsid w:val="00355C1D"/>
    <w:rsid w:val="003577CD"/>
    <w:rsid w:val="0036171A"/>
    <w:rsid w:val="00362BEE"/>
    <w:rsid w:val="003648BF"/>
    <w:rsid w:val="003658F5"/>
    <w:rsid w:val="00366B18"/>
    <w:rsid w:val="003720DD"/>
    <w:rsid w:val="0037251F"/>
    <w:rsid w:val="00373814"/>
    <w:rsid w:val="00373C7B"/>
    <w:rsid w:val="0037478A"/>
    <w:rsid w:val="003766CF"/>
    <w:rsid w:val="00377D79"/>
    <w:rsid w:val="00380AEC"/>
    <w:rsid w:val="003810A0"/>
    <w:rsid w:val="003816B7"/>
    <w:rsid w:val="0038196F"/>
    <w:rsid w:val="00381BAB"/>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D6C"/>
    <w:rsid w:val="003F2438"/>
    <w:rsid w:val="003F628E"/>
    <w:rsid w:val="003F6389"/>
    <w:rsid w:val="003F67B1"/>
    <w:rsid w:val="003F6D84"/>
    <w:rsid w:val="003F7935"/>
    <w:rsid w:val="004005FD"/>
    <w:rsid w:val="0040070B"/>
    <w:rsid w:val="00400D41"/>
    <w:rsid w:val="004014E3"/>
    <w:rsid w:val="0040229A"/>
    <w:rsid w:val="0040249E"/>
    <w:rsid w:val="00403DD9"/>
    <w:rsid w:val="0040550D"/>
    <w:rsid w:val="0040721A"/>
    <w:rsid w:val="004077C5"/>
    <w:rsid w:val="00407F99"/>
    <w:rsid w:val="00410378"/>
    <w:rsid w:val="00410D9E"/>
    <w:rsid w:val="00410DD5"/>
    <w:rsid w:val="00410E8B"/>
    <w:rsid w:val="00412DA5"/>
    <w:rsid w:val="004137A2"/>
    <w:rsid w:val="00414C6A"/>
    <w:rsid w:val="00417247"/>
    <w:rsid w:val="0041787C"/>
    <w:rsid w:val="00417CDB"/>
    <w:rsid w:val="0042021A"/>
    <w:rsid w:val="0042047E"/>
    <w:rsid w:val="004205BA"/>
    <w:rsid w:val="004216F1"/>
    <w:rsid w:val="00422853"/>
    <w:rsid w:val="004238A2"/>
    <w:rsid w:val="0042484A"/>
    <w:rsid w:val="00425472"/>
    <w:rsid w:val="00425E53"/>
    <w:rsid w:val="00427095"/>
    <w:rsid w:val="00427DD9"/>
    <w:rsid w:val="00427E43"/>
    <w:rsid w:val="00431AC7"/>
    <w:rsid w:val="00432C1F"/>
    <w:rsid w:val="00432CD3"/>
    <w:rsid w:val="00435845"/>
    <w:rsid w:val="00436CF0"/>
    <w:rsid w:val="00440524"/>
    <w:rsid w:val="00440A36"/>
    <w:rsid w:val="00440E5A"/>
    <w:rsid w:val="0044286A"/>
    <w:rsid w:val="004429D8"/>
    <w:rsid w:val="0044475B"/>
    <w:rsid w:val="0044503E"/>
    <w:rsid w:val="00447C9F"/>
    <w:rsid w:val="0045181F"/>
    <w:rsid w:val="00454EDA"/>
    <w:rsid w:val="004551AC"/>
    <w:rsid w:val="00455E2C"/>
    <w:rsid w:val="00456704"/>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80DE1"/>
    <w:rsid w:val="00481ADC"/>
    <w:rsid w:val="0048397E"/>
    <w:rsid w:val="004845EB"/>
    <w:rsid w:val="00486A6E"/>
    <w:rsid w:val="00487F40"/>
    <w:rsid w:val="004901E6"/>
    <w:rsid w:val="004919CB"/>
    <w:rsid w:val="0049267A"/>
    <w:rsid w:val="00492918"/>
    <w:rsid w:val="00492985"/>
    <w:rsid w:val="00492BEE"/>
    <w:rsid w:val="00494EBF"/>
    <w:rsid w:val="004A0E4B"/>
    <w:rsid w:val="004A1363"/>
    <w:rsid w:val="004A2483"/>
    <w:rsid w:val="004A2AD9"/>
    <w:rsid w:val="004A2E10"/>
    <w:rsid w:val="004A3C01"/>
    <w:rsid w:val="004A4432"/>
    <w:rsid w:val="004B014A"/>
    <w:rsid w:val="004B0D04"/>
    <w:rsid w:val="004B0EF9"/>
    <w:rsid w:val="004B2278"/>
    <w:rsid w:val="004B320C"/>
    <w:rsid w:val="004B357C"/>
    <w:rsid w:val="004B3754"/>
    <w:rsid w:val="004B3FE5"/>
    <w:rsid w:val="004B7509"/>
    <w:rsid w:val="004C08CE"/>
    <w:rsid w:val="004C3BA5"/>
    <w:rsid w:val="004C455A"/>
    <w:rsid w:val="004C4758"/>
    <w:rsid w:val="004C697B"/>
    <w:rsid w:val="004C7915"/>
    <w:rsid w:val="004C7A2B"/>
    <w:rsid w:val="004D03E1"/>
    <w:rsid w:val="004D1476"/>
    <w:rsid w:val="004D2C93"/>
    <w:rsid w:val="004D453D"/>
    <w:rsid w:val="004D50AE"/>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CCC"/>
    <w:rsid w:val="004E776B"/>
    <w:rsid w:val="004E7ACA"/>
    <w:rsid w:val="004F041F"/>
    <w:rsid w:val="004F0457"/>
    <w:rsid w:val="004F0FFA"/>
    <w:rsid w:val="004F29DD"/>
    <w:rsid w:val="004F2CE0"/>
    <w:rsid w:val="004F300B"/>
    <w:rsid w:val="004F33FD"/>
    <w:rsid w:val="004F4682"/>
    <w:rsid w:val="004F4C0B"/>
    <w:rsid w:val="004F6CA5"/>
    <w:rsid w:val="004F6DAA"/>
    <w:rsid w:val="004F7538"/>
    <w:rsid w:val="004F7F8F"/>
    <w:rsid w:val="00501388"/>
    <w:rsid w:val="00503779"/>
    <w:rsid w:val="00506767"/>
    <w:rsid w:val="0050750D"/>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4310"/>
    <w:rsid w:val="005353DB"/>
    <w:rsid w:val="0053572D"/>
    <w:rsid w:val="005357FF"/>
    <w:rsid w:val="00536854"/>
    <w:rsid w:val="005376E0"/>
    <w:rsid w:val="00537DD0"/>
    <w:rsid w:val="00540CD2"/>
    <w:rsid w:val="00540FB8"/>
    <w:rsid w:val="0054214A"/>
    <w:rsid w:val="0054221E"/>
    <w:rsid w:val="005435EC"/>
    <w:rsid w:val="00543EC1"/>
    <w:rsid w:val="00544737"/>
    <w:rsid w:val="00544F7A"/>
    <w:rsid w:val="0054555C"/>
    <w:rsid w:val="005456EF"/>
    <w:rsid w:val="00545C31"/>
    <w:rsid w:val="00545DC3"/>
    <w:rsid w:val="00545E54"/>
    <w:rsid w:val="00550802"/>
    <w:rsid w:val="00550F6F"/>
    <w:rsid w:val="00551136"/>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7924"/>
    <w:rsid w:val="005779C4"/>
    <w:rsid w:val="00580307"/>
    <w:rsid w:val="0058139E"/>
    <w:rsid w:val="005843D2"/>
    <w:rsid w:val="005867D1"/>
    <w:rsid w:val="00587407"/>
    <w:rsid w:val="00587ECD"/>
    <w:rsid w:val="005907BE"/>
    <w:rsid w:val="00592A26"/>
    <w:rsid w:val="00594117"/>
    <w:rsid w:val="005946BD"/>
    <w:rsid w:val="005967F1"/>
    <w:rsid w:val="005A06F7"/>
    <w:rsid w:val="005A0B9F"/>
    <w:rsid w:val="005A0FC7"/>
    <w:rsid w:val="005A168C"/>
    <w:rsid w:val="005A431C"/>
    <w:rsid w:val="005A465E"/>
    <w:rsid w:val="005A5F3B"/>
    <w:rsid w:val="005A7BA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14FC"/>
    <w:rsid w:val="00621659"/>
    <w:rsid w:val="006219B7"/>
    <w:rsid w:val="006226D4"/>
    <w:rsid w:val="006234EC"/>
    <w:rsid w:val="00623FD7"/>
    <w:rsid w:val="0062454A"/>
    <w:rsid w:val="0062488C"/>
    <w:rsid w:val="00624A32"/>
    <w:rsid w:val="006275A9"/>
    <w:rsid w:val="00627E8E"/>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254A"/>
    <w:rsid w:val="006525CA"/>
    <w:rsid w:val="00652D08"/>
    <w:rsid w:val="00654E73"/>
    <w:rsid w:val="0065601D"/>
    <w:rsid w:val="00656E7B"/>
    <w:rsid w:val="00660A62"/>
    <w:rsid w:val="00662047"/>
    <w:rsid w:val="006623B8"/>
    <w:rsid w:val="00662F9B"/>
    <w:rsid w:val="006634D1"/>
    <w:rsid w:val="00663920"/>
    <w:rsid w:val="00664CCF"/>
    <w:rsid w:val="00666230"/>
    <w:rsid w:val="006675AE"/>
    <w:rsid w:val="00672F55"/>
    <w:rsid w:val="006733A4"/>
    <w:rsid w:val="00673B6D"/>
    <w:rsid w:val="006741DC"/>
    <w:rsid w:val="006753D2"/>
    <w:rsid w:val="006755B6"/>
    <w:rsid w:val="00677868"/>
    <w:rsid w:val="00681644"/>
    <w:rsid w:val="006824B5"/>
    <w:rsid w:val="006832EB"/>
    <w:rsid w:val="00683A8F"/>
    <w:rsid w:val="0068565B"/>
    <w:rsid w:val="00685D77"/>
    <w:rsid w:val="0068647C"/>
    <w:rsid w:val="0069036F"/>
    <w:rsid w:val="00690B82"/>
    <w:rsid w:val="006910FA"/>
    <w:rsid w:val="0069291B"/>
    <w:rsid w:val="006954F6"/>
    <w:rsid w:val="0069574B"/>
    <w:rsid w:val="006A24C5"/>
    <w:rsid w:val="006A3AF3"/>
    <w:rsid w:val="006A405E"/>
    <w:rsid w:val="006A5D24"/>
    <w:rsid w:val="006A5DDE"/>
    <w:rsid w:val="006A61D2"/>
    <w:rsid w:val="006A6C7C"/>
    <w:rsid w:val="006A7CF9"/>
    <w:rsid w:val="006B016D"/>
    <w:rsid w:val="006B456B"/>
    <w:rsid w:val="006B6920"/>
    <w:rsid w:val="006B71BD"/>
    <w:rsid w:val="006C0746"/>
    <w:rsid w:val="006C15E7"/>
    <w:rsid w:val="006C35C3"/>
    <w:rsid w:val="006C39D7"/>
    <w:rsid w:val="006C3D61"/>
    <w:rsid w:val="006C6CDA"/>
    <w:rsid w:val="006D0A15"/>
    <w:rsid w:val="006D1A30"/>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5867"/>
    <w:rsid w:val="006F657E"/>
    <w:rsid w:val="006F7A29"/>
    <w:rsid w:val="007000CC"/>
    <w:rsid w:val="00701269"/>
    <w:rsid w:val="007030CD"/>
    <w:rsid w:val="007032D9"/>
    <w:rsid w:val="00704F6D"/>
    <w:rsid w:val="00705B98"/>
    <w:rsid w:val="007078E8"/>
    <w:rsid w:val="00707FCB"/>
    <w:rsid w:val="00710DF3"/>
    <w:rsid w:val="0071113A"/>
    <w:rsid w:val="00711CCE"/>
    <w:rsid w:val="00712C70"/>
    <w:rsid w:val="00712D70"/>
    <w:rsid w:val="00713634"/>
    <w:rsid w:val="00713FCB"/>
    <w:rsid w:val="00714D1D"/>
    <w:rsid w:val="00715FE9"/>
    <w:rsid w:val="00720647"/>
    <w:rsid w:val="00721ED9"/>
    <w:rsid w:val="00722139"/>
    <w:rsid w:val="00722FB5"/>
    <w:rsid w:val="00723782"/>
    <w:rsid w:val="00723E94"/>
    <w:rsid w:val="00724D3D"/>
    <w:rsid w:val="00725DBF"/>
    <w:rsid w:val="007279FF"/>
    <w:rsid w:val="0073042F"/>
    <w:rsid w:val="00730434"/>
    <w:rsid w:val="00731190"/>
    <w:rsid w:val="00731F7E"/>
    <w:rsid w:val="00732DC7"/>
    <w:rsid w:val="00733C14"/>
    <w:rsid w:val="007348DF"/>
    <w:rsid w:val="007358F1"/>
    <w:rsid w:val="007362BD"/>
    <w:rsid w:val="00736B3D"/>
    <w:rsid w:val="00736C3D"/>
    <w:rsid w:val="00740EE0"/>
    <w:rsid w:val="00741C49"/>
    <w:rsid w:val="00741F73"/>
    <w:rsid w:val="007430FD"/>
    <w:rsid w:val="0074369C"/>
    <w:rsid w:val="0074414C"/>
    <w:rsid w:val="00746D11"/>
    <w:rsid w:val="00746FD1"/>
    <w:rsid w:val="0074702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ADF"/>
    <w:rsid w:val="00781DB6"/>
    <w:rsid w:val="007855C6"/>
    <w:rsid w:val="00785F6B"/>
    <w:rsid w:val="0078656F"/>
    <w:rsid w:val="00786CD5"/>
    <w:rsid w:val="00786FFC"/>
    <w:rsid w:val="0078734B"/>
    <w:rsid w:val="007958FB"/>
    <w:rsid w:val="00795B15"/>
    <w:rsid w:val="00795FF4"/>
    <w:rsid w:val="0079634A"/>
    <w:rsid w:val="00796B94"/>
    <w:rsid w:val="00796C4C"/>
    <w:rsid w:val="007A03FA"/>
    <w:rsid w:val="007A05C9"/>
    <w:rsid w:val="007A1097"/>
    <w:rsid w:val="007A18A9"/>
    <w:rsid w:val="007A1FEE"/>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4AAC"/>
    <w:rsid w:val="007C58D7"/>
    <w:rsid w:val="007C5AED"/>
    <w:rsid w:val="007C779C"/>
    <w:rsid w:val="007D11F9"/>
    <w:rsid w:val="007D19ED"/>
    <w:rsid w:val="007D1F90"/>
    <w:rsid w:val="007D258A"/>
    <w:rsid w:val="007D52A2"/>
    <w:rsid w:val="007D53F1"/>
    <w:rsid w:val="007D5BA4"/>
    <w:rsid w:val="007D6101"/>
    <w:rsid w:val="007D692B"/>
    <w:rsid w:val="007D6BB2"/>
    <w:rsid w:val="007D7EE0"/>
    <w:rsid w:val="007E0333"/>
    <w:rsid w:val="007E1D36"/>
    <w:rsid w:val="007E2A84"/>
    <w:rsid w:val="007E53CD"/>
    <w:rsid w:val="007E6E1F"/>
    <w:rsid w:val="007E6EC1"/>
    <w:rsid w:val="007F0375"/>
    <w:rsid w:val="007F0E99"/>
    <w:rsid w:val="007F1A45"/>
    <w:rsid w:val="007F307A"/>
    <w:rsid w:val="007F40A5"/>
    <w:rsid w:val="007F5C20"/>
    <w:rsid w:val="007F5D2D"/>
    <w:rsid w:val="007F7026"/>
    <w:rsid w:val="008019BE"/>
    <w:rsid w:val="00801E30"/>
    <w:rsid w:val="00803BE0"/>
    <w:rsid w:val="00805CB6"/>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BB7"/>
    <w:rsid w:val="008328F8"/>
    <w:rsid w:val="0083292F"/>
    <w:rsid w:val="00833041"/>
    <w:rsid w:val="00833B72"/>
    <w:rsid w:val="00834573"/>
    <w:rsid w:val="0083500D"/>
    <w:rsid w:val="0084222F"/>
    <w:rsid w:val="00842AAA"/>
    <w:rsid w:val="00842BBD"/>
    <w:rsid w:val="00842E47"/>
    <w:rsid w:val="008434C2"/>
    <w:rsid w:val="00846027"/>
    <w:rsid w:val="008460CD"/>
    <w:rsid w:val="0084624D"/>
    <w:rsid w:val="008467EC"/>
    <w:rsid w:val="008516BB"/>
    <w:rsid w:val="00852FE6"/>
    <w:rsid w:val="00853C17"/>
    <w:rsid w:val="00853CC7"/>
    <w:rsid w:val="0085457A"/>
    <w:rsid w:val="00855F52"/>
    <w:rsid w:val="008568D0"/>
    <w:rsid w:val="00856B9D"/>
    <w:rsid w:val="00857B71"/>
    <w:rsid w:val="00861873"/>
    <w:rsid w:val="0086227A"/>
    <w:rsid w:val="00862399"/>
    <w:rsid w:val="00863A53"/>
    <w:rsid w:val="00863CCC"/>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19AB"/>
    <w:rsid w:val="0088464C"/>
    <w:rsid w:val="0088734E"/>
    <w:rsid w:val="00887D74"/>
    <w:rsid w:val="008912C6"/>
    <w:rsid w:val="00891FBB"/>
    <w:rsid w:val="00892546"/>
    <w:rsid w:val="008938EF"/>
    <w:rsid w:val="008A0E46"/>
    <w:rsid w:val="008A2B28"/>
    <w:rsid w:val="008A2E77"/>
    <w:rsid w:val="008A4962"/>
    <w:rsid w:val="008A5C0C"/>
    <w:rsid w:val="008A5D4E"/>
    <w:rsid w:val="008A61BE"/>
    <w:rsid w:val="008A6292"/>
    <w:rsid w:val="008A6A9F"/>
    <w:rsid w:val="008A7D84"/>
    <w:rsid w:val="008B11C4"/>
    <w:rsid w:val="008B36BB"/>
    <w:rsid w:val="008B3752"/>
    <w:rsid w:val="008B4D9C"/>
    <w:rsid w:val="008B5860"/>
    <w:rsid w:val="008B66AF"/>
    <w:rsid w:val="008B716F"/>
    <w:rsid w:val="008C08D9"/>
    <w:rsid w:val="008C3232"/>
    <w:rsid w:val="008C3632"/>
    <w:rsid w:val="008C3CF2"/>
    <w:rsid w:val="008C4F0E"/>
    <w:rsid w:val="008C5555"/>
    <w:rsid w:val="008C65A6"/>
    <w:rsid w:val="008C7A02"/>
    <w:rsid w:val="008D1361"/>
    <w:rsid w:val="008D27A8"/>
    <w:rsid w:val="008D303E"/>
    <w:rsid w:val="008D3EA0"/>
    <w:rsid w:val="008D4081"/>
    <w:rsid w:val="008D4D8C"/>
    <w:rsid w:val="008D53EC"/>
    <w:rsid w:val="008D6695"/>
    <w:rsid w:val="008D7073"/>
    <w:rsid w:val="008E0DA4"/>
    <w:rsid w:val="008E4544"/>
    <w:rsid w:val="008E4662"/>
    <w:rsid w:val="008F0937"/>
    <w:rsid w:val="008F2582"/>
    <w:rsid w:val="008F2F2F"/>
    <w:rsid w:val="008F5415"/>
    <w:rsid w:val="008F5CD9"/>
    <w:rsid w:val="008F7CF2"/>
    <w:rsid w:val="00900D6A"/>
    <w:rsid w:val="00904EC9"/>
    <w:rsid w:val="00904F71"/>
    <w:rsid w:val="0090659B"/>
    <w:rsid w:val="009070CF"/>
    <w:rsid w:val="0091015E"/>
    <w:rsid w:val="009107E4"/>
    <w:rsid w:val="009108D0"/>
    <w:rsid w:val="009165BA"/>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4CA4"/>
    <w:rsid w:val="009452A1"/>
    <w:rsid w:val="00945C33"/>
    <w:rsid w:val="0094626D"/>
    <w:rsid w:val="009464C9"/>
    <w:rsid w:val="00951AE6"/>
    <w:rsid w:val="009522B6"/>
    <w:rsid w:val="00952836"/>
    <w:rsid w:val="0095386E"/>
    <w:rsid w:val="00954409"/>
    <w:rsid w:val="009546E1"/>
    <w:rsid w:val="00956037"/>
    <w:rsid w:val="00956B4E"/>
    <w:rsid w:val="00960289"/>
    <w:rsid w:val="009611C8"/>
    <w:rsid w:val="00961453"/>
    <w:rsid w:val="00963316"/>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75D0"/>
    <w:rsid w:val="00977859"/>
    <w:rsid w:val="009825F1"/>
    <w:rsid w:val="009826EB"/>
    <w:rsid w:val="00982F57"/>
    <w:rsid w:val="00986004"/>
    <w:rsid w:val="00990412"/>
    <w:rsid w:val="00990445"/>
    <w:rsid w:val="00992B41"/>
    <w:rsid w:val="00995C2E"/>
    <w:rsid w:val="009977DC"/>
    <w:rsid w:val="00997FAE"/>
    <w:rsid w:val="009A0274"/>
    <w:rsid w:val="009A1054"/>
    <w:rsid w:val="009A1BC0"/>
    <w:rsid w:val="009A1EC5"/>
    <w:rsid w:val="009A298C"/>
    <w:rsid w:val="009A35A0"/>
    <w:rsid w:val="009A3C50"/>
    <w:rsid w:val="009A4378"/>
    <w:rsid w:val="009A48D7"/>
    <w:rsid w:val="009A63D8"/>
    <w:rsid w:val="009A689D"/>
    <w:rsid w:val="009A6A23"/>
    <w:rsid w:val="009B10CA"/>
    <w:rsid w:val="009B1D61"/>
    <w:rsid w:val="009B1EE6"/>
    <w:rsid w:val="009B1FB9"/>
    <w:rsid w:val="009B237F"/>
    <w:rsid w:val="009B29D5"/>
    <w:rsid w:val="009B3080"/>
    <w:rsid w:val="009B55B6"/>
    <w:rsid w:val="009B5E7E"/>
    <w:rsid w:val="009B6696"/>
    <w:rsid w:val="009B6888"/>
    <w:rsid w:val="009B7BD2"/>
    <w:rsid w:val="009B7F80"/>
    <w:rsid w:val="009C0769"/>
    <w:rsid w:val="009C0CC6"/>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70EF"/>
    <w:rsid w:val="009E722D"/>
    <w:rsid w:val="009E7985"/>
    <w:rsid w:val="009F0F01"/>
    <w:rsid w:val="009F31AC"/>
    <w:rsid w:val="009F3A13"/>
    <w:rsid w:val="009F3D67"/>
    <w:rsid w:val="009F3E32"/>
    <w:rsid w:val="009F500D"/>
    <w:rsid w:val="009F7836"/>
    <w:rsid w:val="00A0060A"/>
    <w:rsid w:val="00A00FB4"/>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E8B"/>
    <w:rsid w:val="00A161E6"/>
    <w:rsid w:val="00A1629D"/>
    <w:rsid w:val="00A166CB"/>
    <w:rsid w:val="00A22A71"/>
    <w:rsid w:val="00A2310C"/>
    <w:rsid w:val="00A23434"/>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60D9"/>
    <w:rsid w:val="00A3692C"/>
    <w:rsid w:val="00A376DB"/>
    <w:rsid w:val="00A42499"/>
    <w:rsid w:val="00A425E9"/>
    <w:rsid w:val="00A43273"/>
    <w:rsid w:val="00A4409C"/>
    <w:rsid w:val="00A440C5"/>
    <w:rsid w:val="00A4749F"/>
    <w:rsid w:val="00A508AD"/>
    <w:rsid w:val="00A50E23"/>
    <w:rsid w:val="00A515B8"/>
    <w:rsid w:val="00A51893"/>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60DE"/>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D1782"/>
    <w:rsid w:val="00AD18B4"/>
    <w:rsid w:val="00AD1D8D"/>
    <w:rsid w:val="00AD2601"/>
    <w:rsid w:val="00AD33DA"/>
    <w:rsid w:val="00AD3935"/>
    <w:rsid w:val="00AD3A86"/>
    <w:rsid w:val="00AD5491"/>
    <w:rsid w:val="00AD6762"/>
    <w:rsid w:val="00AD6D03"/>
    <w:rsid w:val="00AD7BA8"/>
    <w:rsid w:val="00AE0256"/>
    <w:rsid w:val="00AE1A0A"/>
    <w:rsid w:val="00AE30D9"/>
    <w:rsid w:val="00AE3467"/>
    <w:rsid w:val="00AE468D"/>
    <w:rsid w:val="00AE49C2"/>
    <w:rsid w:val="00AE51E8"/>
    <w:rsid w:val="00AE6013"/>
    <w:rsid w:val="00AE791A"/>
    <w:rsid w:val="00AF055D"/>
    <w:rsid w:val="00AF47AA"/>
    <w:rsid w:val="00AF4E1D"/>
    <w:rsid w:val="00AF7AEA"/>
    <w:rsid w:val="00B00184"/>
    <w:rsid w:val="00B02C77"/>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3578"/>
    <w:rsid w:val="00B253A0"/>
    <w:rsid w:val="00B255E6"/>
    <w:rsid w:val="00B2570B"/>
    <w:rsid w:val="00B263AC"/>
    <w:rsid w:val="00B3140F"/>
    <w:rsid w:val="00B32977"/>
    <w:rsid w:val="00B32EE9"/>
    <w:rsid w:val="00B33CE5"/>
    <w:rsid w:val="00B33F6B"/>
    <w:rsid w:val="00B34D86"/>
    <w:rsid w:val="00B35E72"/>
    <w:rsid w:val="00B36157"/>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AE9"/>
    <w:rsid w:val="00B62649"/>
    <w:rsid w:val="00B62838"/>
    <w:rsid w:val="00B62C25"/>
    <w:rsid w:val="00B64598"/>
    <w:rsid w:val="00B650EE"/>
    <w:rsid w:val="00B65BB1"/>
    <w:rsid w:val="00B6657B"/>
    <w:rsid w:val="00B66AA2"/>
    <w:rsid w:val="00B66ECE"/>
    <w:rsid w:val="00B7138C"/>
    <w:rsid w:val="00B71660"/>
    <w:rsid w:val="00B71DDC"/>
    <w:rsid w:val="00B7265F"/>
    <w:rsid w:val="00B726C0"/>
    <w:rsid w:val="00B728F7"/>
    <w:rsid w:val="00B741C7"/>
    <w:rsid w:val="00B74926"/>
    <w:rsid w:val="00B74E7B"/>
    <w:rsid w:val="00B753F1"/>
    <w:rsid w:val="00B76AEA"/>
    <w:rsid w:val="00B76B10"/>
    <w:rsid w:val="00B76BB7"/>
    <w:rsid w:val="00B82109"/>
    <w:rsid w:val="00B873E4"/>
    <w:rsid w:val="00B87583"/>
    <w:rsid w:val="00B87803"/>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AA"/>
    <w:rsid w:val="00BA24AD"/>
    <w:rsid w:val="00BA2F17"/>
    <w:rsid w:val="00BA3E7F"/>
    <w:rsid w:val="00BA4A8A"/>
    <w:rsid w:val="00BA4D7C"/>
    <w:rsid w:val="00BA726E"/>
    <w:rsid w:val="00BA7761"/>
    <w:rsid w:val="00BA7BB4"/>
    <w:rsid w:val="00BA7BB9"/>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E15"/>
    <w:rsid w:val="00BC740C"/>
    <w:rsid w:val="00BC79C3"/>
    <w:rsid w:val="00BC7F04"/>
    <w:rsid w:val="00BD30B3"/>
    <w:rsid w:val="00BD39EA"/>
    <w:rsid w:val="00BD4390"/>
    <w:rsid w:val="00BD458C"/>
    <w:rsid w:val="00BD45E8"/>
    <w:rsid w:val="00BD4AAF"/>
    <w:rsid w:val="00BD710D"/>
    <w:rsid w:val="00BE03D4"/>
    <w:rsid w:val="00BE0453"/>
    <w:rsid w:val="00BE4298"/>
    <w:rsid w:val="00BE4F62"/>
    <w:rsid w:val="00BE56EF"/>
    <w:rsid w:val="00BE6C21"/>
    <w:rsid w:val="00BE7183"/>
    <w:rsid w:val="00BF126E"/>
    <w:rsid w:val="00BF168D"/>
    <w:rsid w:val="00BF1E62"/>
    <w:rsid w:val="00BF24B8"/>
    <w:rsid w:val="00BF7EB7"/>
    <w:rsid w:val="00C0137D"/>
    <w:rsid w:val="00C015EA"/>
    <w:rsid w:val="00C03EDA"/>
    <w:rsid w:val="00C0485C"/>
    <w:rsid w:val="00C0555C"/>
    <w:rsid w:val="00C05A5A"/>
    <w:rsid w:val="00C05BA2"/>
    <w:rsid w:val="00C06133"/>
    <w:rsid w:val="00C07E05"/>
    <w:rsid w:val="00C13017"/>
    <w:rsid w:val="00C1368D"/>
    <w:rsid w:val="00C14744"/>
    <w:rsid w:val="00C17389"/>
    <w:rsid w:val="00C20A7C"/>
    <w:rsid w:val="00C21460"/>
    <w:rsid w:val="00C2260B"/>
    <w:rsid w:val="00C2461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A0D"/>
    <w:rsid w:val="00C455E6"/>
    <w:rsid w:val="00C458A7"/>
    <w:rsid w:val="00C46AEE"/>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2839"/>
    <w:rsid w:val="00CE2C5E"/>
    <w:rsid w:val="00CE388C"/>
    <w:rsid w:val="00CE3A42"/>
    <w:rsid w:val="00CE67BA"/>
    <w:rsid w:val="00CF0429"/>
    <w:rsid w:val="00CF11FF"/>
    <w:rsid w:val="00CF15CD"/>
    <w:rsid w:val="00CF32AE"/>
    <w:rsid w:val="00CF3C0E"/>
    <w:rsid w:val="00CF6E32"/>
    <w:rsid w:val="00CF752F"/>
    <w:rsid w:val="00D0001F"/>
    <w:rsid w:val="00D0043C"/>
    <w:rsid w:val="00D007CA"/>
    <w:rsid w:val="00D029EE"/>
    <w:rsid w:val="00D0317C"/>
    <w:rsid w:val="00D03778"/>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207BB"/>
    <w:rsid w:val="00D2312D"/>
    <w:rsid w:val="00D24850"/>
    <w:rsid w:val="00D24A35"/>
    <w:rsid w:val="00D25AF6"/>
    <w:rsid w:val="00D2615A"/>
    <w:rsid w:val="00D275D5"/>
    <w:rsid w:val="00D30ACE"/>
    <w:rsid w:val="00D317E6"/>
    <w:rsid w:val="00D31ADF"/>
    <w:rsid w:val="00D356B0"/>
    <w:rsid w:val="00D35FB0"/>
    <w:rsid w:val="00D404DF"/>
    <w:rsid w:val="00D438DB"/>
    <w:rsid w:val="00D44309"/>
    <w:rsid w:val="00D46105"/>
    <w:rsid w:val="00D46471"/>
    <w:rsid w:val="00D527D8"/>
    <w:rsid w:val="00D52BC0"/>
    <w:rsid w:val="00D53249"/>
    <w:rsid w:val="00D53CE7"/>
    <w:rsid w:val="00D54D95"/>
    <w:rsid w:val="00D55FDC"/>
    <w:rsid w:val="00D6245A"/>
    <w:rsid w:val="00D67994"/>
    <w:rsid w:val="00D67E63"/>
    <w:rsid w:val="00D70C0C"/>
    <w:rsid w:val="00D7489E"/>
    <w:rsid w:val="00D7529B"/>
    <w:rsid w:val="00D758BA"/>
    <w:rsid w:val="00D75FE4"/>
    <w:rsid w:val="00D77897"/>
    <w:rsid w:val="00D80018"/>
    <w:rsid w:val="00D80736"/>
    <w:rsid w:val="00D80BD9"/>
    <w:rsid w:val="00D81FC5"/>
    <w:rsid w:val="00D82F90"/>
    <w:rsid w:val="00D8536B"/>
    <w:rsid w:val="00D86803"/>
    <w:rsid w:val="00D86881"/>
    <w:rsid w:val="00D87D56"/>
    <w:rsid w:val="00D90722"/>
    <w:rsid w:val="00D919F7"/>
    <w:rsid w:val="00D924A8"/>
    <w:rsid w:val="00D93F35"/>
    <w:rsid w:val="00D94BEA"/>
    <w:rsid w:val="00D95C73"/>
    <w:rsid w:val="00D976C5"/>
    <w:rsid w:val="00D97F02"/>
    <w:rsid w:val="00DA1288"/>
    <w:rsid w:val="00DA2F4E"/>
    <w:rsid w:val="00DA3971"/>
    <w:rsid w:val="00DA4636"/>
    <w:rsid w:val="00DA4CA6"/>
    <w:rsid w:val="00DA50EA"/>
    <w:rsid w:val="00DA51A5"/>
    <w:rsid w:val="00DA71DA"/>
    <w:rsid w:val="00DB0798"/>
    <w:rsid w:val="00DB1CDF"/>
    <w:rsid w:val="00DB25F2"/>
    <w:rsid w:val="00DB2EC3"/>
    <w:rsid w:val="00DB3B2D"/>
    <w:rsid w:val="00DB3B9F"/>
    <w:rsid w:val="00DB49FE"/>
    <w:rsid w:val="00DB7A7A"/>
    <w:rsid w:val="00DC1915"/>
    <w:rsid w:val="00DC2080"/>
    <w:rsid w:val="00DC3879"/>
    <w:rsid w:val="00DC3C01"/>
    <w:rsid w:val="00DC53E0"/>
    <w:rsid w:val="00DC581F"/>
    <w:rsid w:val="00DC6789"/>
    <w:rsid w:val="00DC6AF2"/>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A49"/>
    <w:rsid w:val="00DE5F14"/>
    <w:rsid w:val="00DE76AF"/>
    <w:rsid w:val="00DF0BAA"/>
    <w:rsid w:val="00DF1696"/>
    <w:rsid w:val="00DF20CA"/>
    <w:rsid w:val="00DF233B"/>
    <w:rsid w:val="00DF36B6"/>
    <w:rsid w:val="00DF4D06"/>
    <w:rsid w:val="00DF5784"/>
    <w:rsid w:val="00DF58F7"/>
    <w:rsid w:val="00DF6719"/>
    <w:rsid w:val="00DF67A8"/>
    <w:rsid w:val="00E00C7C"/>
    <w:rsid w:val="00E025C3"/>
    <w:rsid w:val="00E035A6"/>
    <w:rsid w:val="00E04CE4"/>
    <w:rsid w:val="00E060B7"/>
    <w:rsid w:val="00E06EAE"/>
    <w:rsid w:val="00E07CED"/>
    <w:rsid w:val="00E10CAC"/>
    <w:rsid w:val="00E11516"/>
    <w:rsid w:val="00E1233F"/>
    <w:rsid w:val="00E1278A"/>
    <w:rsid w:val="00E12EA1"/>
    <w:rsid w:val="00E13AAF"/>
    <w:rsid w:val="00E14EEB"/>
    <w:rsid w:val="00E159F1"/>
    <w:rsid w:val="00E17230"/>
    <w:rsid w:val="00E20182"/>
    <w:rsid w:val="00E20B3D"/>
    <w:rsid w:val="00E20BD4"/>
    <w:rsid w:val="00E2191A"/>
    <w:rsid w:val="00E21B48"/>
    <w:rsid w:val="00E21DFE"/>
    <w:rsid w:val="00E220E0"/>
    <w:rsid w:val="00E246F7"/>
    <w:rsid w:val="00E24C78"/>
    <w:rsid w:val="00E2594F"/>
    <w:rsid w:val="00E26ED0"/>
    <w:rsid w:val="00E273A0"/>
    <w:rsid w:val="00E27A70"/>
    <w:rsid w:val="00E309B7"/>
    <w:rsid w:val="00E30FD1"/>
    <w:rsid w:val="00E31CDA"/>
    <w:rsid w:val="00E328F0"/>
    <w:rsid w:val="00E32D05"/>
    <w:rsid w:val="00E342BD"/>
    <w:rsid w:val="00E34A38"/>
    <w:rsid w:val="00E37B2C"/>
    <w:rsid w:val="00E418F8"/>
    <w:rsid w:val="00E4200B"/>
    <w:rsid w:val="00E45E33"/>
    <w:rsid w:val="00E465C3"/>
    <w:rsid w:val="00E4675E"/>
    <w:rsid w:val="00E5026E"/>
    <w:rsid w:val="00E50A9D"/>
    <w:rsid w:val="00E51AB7"/>
    <w:rsid w:val="00E57976"/>
    <w:rsid w:val="00E60DD0"/>
    <w:rsid w:val="00E613F8"/>
    <w:rsid w:val="00E62146"/>
    <w:rsid w:val="00E62A1F"/>
    <w:rsid w:val="00E66592"/>
    <w:rsid w:val="00E66732"/>
    <w:rsid w:val="00E66835"/>
    <w:rsid w:val="00E67E42"/>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47B9"/>
    <w:rsid w:val="00E9521C"/>
    <w:rsid w:val="00E955EF"/>
    <w:rsid w:val="00E97A21"/>
    <w:rsid w:val="00EA03EF"/>
    <w:rsid w:val="00EA04AE"/>
    <w:rsid w:val="00EA0C9F"/>
    <w:rsid w:val="00EA2739"/>
    <w:rsid w:val="00EA2DAF"/>
    <w:rsid w:val="00EA45E8"/>
    <w:rsid w:val="00EA61D5"/>
    <w:rsid w:val="00EA683B"/>
    <w:rsid w:val="00EB0E1A"/>
    <w:rsid w:val="00EB15D5"/>
    <w:rsid w:val="00EB1E91"/>
    <w:rsid w:val="00EB3F46"/>
    <w:rsid w:val="00EB5A86"/>
    <w:rsid w:val="00EB5D64"/>
    <w:rsid w:val="00EB75AD"/>
    <w:rsid w:val="00EC0293"/>
    <w:rsid w:val="00EC0FB9"/>
    <w:rsid w:val="00EC12FD"/>
    <w:rsid w:val="00EC18F4"/>
    <w:rsid w:val="00EC223D"/>
    <w:rsid w:val="00EC232B"/>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F0E0D"/>
    <w:rsid w:val="00EF1F75"/>
    <w:rsid w:val="00EF24D5"/>
    <w:rsid w:val="00EF3DF8"/>
    <w:rsid w:val="00EF4927"/>
    <w:rsid w:val="00EF49EB"/>
    <w:rsid w:val="00EF6063"/>
    <w:rsid w:val="00EF6C18"/>
    <w:rsid w:val="00EF7418"/>
    <w:rsid w:val="00F019BC"/>
    <w:rsid w:val="00F03071"/>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6F3E"/>
    <w:rsid w:val="00F26F8D"/>
    <w:rsid w:val="00F27398"/>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189E"/>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90556"/>
    <w:rsid w:val="00F9149C"/>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3B21"/>
    <w:rsid w:val="00FC423C"/>
    <w:rsid w:val="00FC435C"/>
    <w:rsid w:val="00FC4591"/>
    <w:rsid w:val="00FC5C54"/>
    <w:rsid w:val="00FC5D61"/>
    <w:rsid w:val="00FC67D6"/>
    <w:rsid w:val="00FC6DB2"/>
    <w:rsid w:val="00FD07E3"/>
    <w:rsid w:val="00FD32C2"/>
    <w:rsid w:val="00FD36B6"/>
    <w:rsid w:val="00FD3E6E"/>
    <w:rsid w:val="00FD503F"/>
    <w:rsid w:val="00FD50BC"/>
    <w:rsid w:val="00FE1066"/>
    <w:rsid w:val="00FE1648"/>
    <w:rsid w:val="00FE1D8A"/>
    <w:rsid w:val="00FE2958"/>
    <w:rsid w:val="00FE3AC0"/>
    <w:rsid w:val="00FE4476"/>
    <w:rsid w:val="00FE5BAE"/>
    <w:rsid w:val="00FE6A61"/>
    <w:rsid w:val="00FE6B22"/>
    <w:rsid w:val="00FE6C78"/>
    <w:rsid w:val="00FE7C14"/>
    <w:rsid w:val="00FE7F41"/>
    <w:rsid w:val="00FF02DF"/>
    <w:rsid w:val="00FF4D10"/>
    <w:rsid w:val="00FF5B50"/>
    <w:rsid w:val="00FF5C80"/>
    <w:rsid w:val="00FF65AB"/>
    <w:rsid w:val="00FF6EF8"/>
    <w:rsid w:val="01712C59"/>
    <w:rsid w:val="019224BE"/>
    <w:rsid w:val="02454DC9"/>
    <w:rsid w:val="02DB4857"/>
    <w:rsid w:val="0367592F"/>
    <w:rsid w:val="045A67DF"/>
    <w:rsid w:val="045D2E23"/>
    <w:rsid w:val="04612981"/>
    <w:rsid w:val="0492290C"/>
    <w:rsid w:val="04973A9F"/>
    <w:rsid w:val="04F548E2"/>
    <w:rsid w:val="053E6976"/>
    <w:rsid w:val="06BB7499"/>
    <w:rsid w:val="072A4BA6"/>
    <w:rsid w:val="08610CD7"/>
    <w:rsid w:val="08AA0E57"/>
    <w:rsid w:val="08B421A7"/>
    <w:rsid w:val="09004AA0"/>
    <w:rsid w:val="09141EC9"/>
    <w:rsid w:val="091B157F"/>
    <w:rsid w:val="091F2D9D"/>
    <w:rsid w:val="092B7785"/>
    <w:rsid w:val="0948190B"/>
    <w:rsid w:val="0993037E"/>
    <w:rsid w:val="0A872E9B"/>
    <w:rsid w:val="0AB319EF"/>
    <w:rsid w:val="0AF6127C"/>
    <w:rsid w:val="0B7962BE"/>
    <w:rsid w:val="0C105DFF"/>
    <w:rsid w:val="0C684A5B"/>
    <w:rsid w:val="0CB5287D"/>
    <w:rsid w:val="0CCA3020"/>
    <w:rsid w:val="0CFC317C"/>
    <w:rsid w:val="0EB46E08"/>
    <w:rsid w:val="0EC64E38"/>
    <w:rsid w:val="0EEC1973"/>
    <w:rsid w:val="0F264FE7"/>
    <w:rsid w:val="0FAC7325"/>
    <w:rsid w:val="11367AC0"/>
    <w:rsid w:val="118D1664"/>
    <w:rsid w:val="11A101D6"/>
    <w:rsid w:val="11B83C77"/>
    <w:rsid w:val="120D6082"/>
    <w:rsid w:val="122711D7"/>
    <w:rsid w:val="13F526AA"/>
    <w:rsid w:val="142152D6"/>
    <w:rsid w:val="14CB5D17"/>
    <w:rsid w:val="14DF5063"/>
    <w:rsid w:val="15880C4C"/>
    <w:rsid w:val="15AC7766"/>
    <w:rsid w:val="15AE4939"/>
    <w:rsid w:val="16A101B8"/>
    <w:rsid w:val="16A7036B"/>
    <w:rsid w:val="16AC344E"/>
    <w:rsid w:val="16C07B0A"/>
    <w:rsid w:val="170532D4"/>
    <w:rsid w:val="172604C7"/>
    <w:rsid w:val="1731523F"/>
    <w:rsid w:val="17EA65DF"/>
    <w:rsid w:val="18003D99"/>
    <w:rsid w:val="192D615C"/>
    <w:rsid w:val="19553A9D"/>
    <w:rsid w:val="195F3547"/>
    <w:rsid w:val="19826FA5"/>
    <w:rsid w:val="19877AF0"/>
    <w:rsid w:val="19E71F68"/>
    <w:rsid w:val="1A287223"/>
    <w:rsid w:val="1C3243D6"/>
    <w:rsid w:val="1C6F4FB4"/>
    <w:rsid w:val="1C733AAB"/>
    <w:rsid w:val="1CC45CDD"/>
    <w:rsid w:val="1CCB791D"/>
    <w:rsid w:val="1D1735EF"/>
    <w:rsid w:val="1DEE0CA9"/>
    <w:rsid w:val="1DF20628"/>
    <w:rsid w:val="1E2D620F"/>
    <w:rsid w:val="1EBF50DB"/>
    <w:rsid w:val="1F011828"/>
    <w:rsid w:val="204C132C"/>
    <w:rsid w:val="20D64653"/>
    <w:rsid w:val="20EE1616"/>
    <w:rsid w:val="21120767"/>
    <w:rsid w:val="212E2504"/>
    <w:rsid w:val="214B0C07"/>
    <w:rsid w:val="216A67F7"/>
    <w:rsid w:val="219963E6"/>
    <w:rsid w:val="21D302A6"/>
    <w:rsid w:val="245231DD"/>
    <w:rsid w:val="25315A92"/>
    <w:rsid w:val="25485B4A"/>
    <w:rsid w:val="257411BF"/>
    <w:rsid w:val="25864D84"/>
    <w:rsid w:val="260F1BFD"/>
    <w:rsid w:val="264D746E"/>
    <w:rsid w:val="268B18B9"/>
    <w:rsid w:val="26942845"/>
    <w:rsid w:val="26A5092E"/>
    <w:rsid w:val="26D24169"/>
    <w:rsid w:val="2782748C"/>
    <w:rsid w:val="28603F2A"/>
    <w:rsid w:val="287B7E23"/>
    <w:rsid w:val="28812A39"/>
    <w:rsid w:val="29626662"/>
    <w:rsid w:val="2A3113C8"/>
    <w:rsid w:val="2A446C83"/>
    <w:rsid w:val="2A8617FE"/>
    <w:rsid w:val="2AB9225B"/>
    <w:rsid w:val="2B590203"/>
    <w:rsid w:val="2B794137"/>
    <w:rsid w:val="2B9B099A"/>
    <w:rsid w:val="2C225C6C"/>
    <w:rsid w:val="2C7831FE"/>
    <w:rsid w:val="2C8F0EA7"/>
    <w:rsid w:val="2CAD66F4"/>
    <w:rsid w:val="2D5609E8"/>
    <w:rsid w:val="2E0E10F4"/>
    <w:rsid w:val="2F377CAB"/>
    <w:rsid w:val="2F7215C9"/>
    <w:rsid w:val="2F753598"/>
    <w:rsid w:val="2FCC5E07"/>
    <w:rsid w:val="2FF545D5"/>
    <w:rsid w:val="30247B0A"/>
    <w:rsid w:val="319966F0"/>
    <w:rsid w:val="32863A70"/>
    <w:rsid w:val="328E2276"/>
    <w:rsid w:val="333F5C66"/>
    <w:rsid w:val="33825FA4"/>
    <w:rsid w:val="33DB773D"/>
    <w:rsid w:val="346A2735"/>
    <w:rsid w:val="34820207"/>
    <w:rsid w:val="349F49A1"/>
    <w:rsid w:val="34AA5361"/>
    <w:rsid w:val="34D7553F"/>
    <w:rsid w:val="34FC3E0F"/>
    <w:rsid w:val="3536335A"/>
    <w:rsid w:val="367C2ED7"/>
    <w:rsid w:val="36C53D8A"/>
    <w:rsid w:val="37CD35DE"/>
    <w:rsid w:val="38232AA8"/>
    <w:rsid w:val="389D3187"/>
    <w:rsid w:val="38B91C49"/>
    <w:rsid w:val="3984451E"/>
    <w:rsid w:val="39E958BC"/>
    <w:rsid w:val="39F84A46"/>
    <w:rsid w:val="3A366C90"/>
    <w:rsid w:val="3A50783A"/>
    <w:rsid w:val="3AD2717E"/>
    <w:rsid w:val="3AE8792A"/>
    <w:rsid w:val="3B4C6B7D"/>
    <w:rsid w:val="3C580635"/>
    <w:rsid w:val="3C896EB4"/>
    <w:rsid w:val="3CC50F8A"/>
    <w:rsid w:val="3CF26E83"/>
    <w:rsid w:val="3D7E3DFD"/>
    <w:rsid w:val="3DDC1B4E"/>
    <w:rsid w:val="3E684EAD"/>
    <w:rsid w:val="3E6E56EE"/>
    <w:rsid w:val="3E831250"/>
    <w:rsid w:val="3EAF2D25"/>
    <w:rsid w:val="3F221C11"/>
    <w:rsid w:val="3FF57DD8"/>
    <w:rsid w:val="400A4965"/>
    <w:rsid w:val="40291362"/>
    <w:rsid w:val="40B35F3C"/>
    <w:rsid w:val="41492569"/>
    <w:rsid w:val="41B06152"/>
    <w:rsid w:val="41E166A7"/>
    <w:rsid w:val="42833F2C"/>
    <w:rsid w:val="42A34959"/>
    <w:rsid w:val="42AB29D0"/>
    <w:rsid w:val="42D515E8"/>
    <w:rsid w:val="432568B4"/>
    <w:rsid w:val="43C5363E"/>
    <w:rsid w:val="43F0266D"/>
    <w:rsid w:val="441B5933"/>
    <w:rsid w:val="44EF3FD1"/>
    <w:rsid w:val="4534045C"/>
    <w:rsid w:val="45352A25"/>
    <w:rsid w:val="455E66B8"/>
    <w:rsid w:val="458F0387"/>
    <w:rsid w:val="46157C7E"/>
    <w:rsid w:val="461F17AF"/>
    <w:rsid w:val="46E6047B"/>
    <w:rsid w:val="47A32C15"/>
    <w:rsid w:val="47D33EDA"/>
    <w:rsid w:val="47F55DE4"/>
    <w:rsid w:val="47FC5A7C"/>
    <w:rsid w:val="48010ED3"/>
    <w:rsid w:val="48CA33FC"/>
    <w:rsid w:val="49316623"/>
    <w:rsid w:val="494372C0"/>
    <w:rsid w:val="4A091CE5"/>
    <w:rsid w:val="4A99106D"/>
    <w:rsid w:val="4AC839B1"/>
    <w:rsid w:val="4BE909E0"/>
    <w:rsid w:val="4BEF1B80"/>
    <w:rsid w:val="4C290139"/>
    <w:rsid w:val="4C4C1669"/>
    <w:rsid w:val="4C7F6D10"/>
    <w:rsid w:val="4CC2524A"/>
    <w:rsid w:val="4CFE5DCC"/>
    <w:rsid w:val="4D293DEA"/>
    <w:rsid w:val="4DD83BCC"/>
    <w:rsid w:val="4DDE1EAC"/>
    <w:rsid w:val="4DFF1E22"/>
    <w:rsid w:val="4E5D3917"/>
    <w:rsid w:val="4F9F02E7"/>
    <w:rsid w:val="518976D2"/>
    <w:rsid w:val="52935EE2"/>
    <w:rsid w:val="52A674AC"/>
    <w:rsid w:val="52B5636A"/>
    <w:rsid w:val="53072D70"/>
    <w:rsid w:val="53594140"/>
    <w:rsid w:val="53F01D34"/>
    <w:rsid w:val="541A3E14"/>
    <w:rsid w:val="546D3EBE"/>
    <w:rsid w:val="547E7F44"/>
    <w:rsid w:val="54955781"/>
    <w:rsid w:val="54A203AA"/>
    <w:rsid w:val="551F5FB4"/>
    <w:rsid w:val="55AA1478"/>
    <w:rsid w:val="55CC2F32"/>
    <w:rsid w:val="55D15107"/>
    <w:rsid w:val="56497D05"/>
    <w:rsid w:val="5651762B"/>
    <w:rsid w:val="570A56DD"/>
    <w:rsid w:val="57730905"/>
    <w:rsid w:val="57C70B78"/>
    <w:rsid w:val="58900246"/>
    <w:rsid w:val="58A14A23"/>
    <w:rsid w:val="58A609DF"/>
    <w:rsid w:val="599810F5"/>
    <w:rsid w:val="59A1101C"/>
    <w:rsid w:val="59AF248B"/>
    <w:rsid w:val="59F111B9"/>
    <w:rsid w:val="5A1455BF"/>
    <w:rsid w:val="5A15432B"/>
    <w:rsid w:val="5A1D1EFC"/>
    <w:rsid w:val="5AD26541"/>
    <w:rsid w:val="5ADA6DD0"/>
    <w:rsid w:val="5AEF067F"/>
    <w:rsid w:val="5B9444F1"/>
    <w:rsid w:val="5BC052E6"/>
    <w:rsid w:val="5C024D2D"/>
    <w:rsid w:val="5C2E04A2"/>
    <w:rsid w:val="5CD901EE"/>
    <w:rsid w:val="5CF05F2A"/>
    <w:rsid w:val="5D054DA9"/>
    <w:rsid w:val="5D2D6E3D"/>
    <w:rsid w:val="5FAB005C"/>
    <w:rsid w:val="5FE07B70"/>
    <w:rsid w:val="603879BD"/>
    <w:rsid w:val="606B6E69"/>
    <w:rsid w:val="60912DAE"/>
    <w:rsid w:val="60944A0B"/>
    <w:rsid w:val="60AC578B"/>
    <w:rsid w:val="60D41974"/>
    <w:rsid w:val="6154366A"/>
    <w:rsid w:val="61B85B0B"/>
    <w:rsid w:val="627C0528"/>
    <w:rsid w:val="6320666B"/>
    <w:rsid w:val="633E7ADE"/>
    <w:rsid w:val="63433366"/>
    <w:rsid w:val="63891D25"/>
    <w:rsid w:val="63A54A3C"/>
    <w:rsid w:val="63A66D11"/>
    <w:rsid w:val="63A92490"/>
    <w:rsid w:val="63D63827"/>
    <w:rsid w:val="63F10251"/>
    <w:rsid w:val="641674F2"/>
    <w:rsid w:val="64CA5FFF"/>
    <w:rsid w:val="65546448"/>
    <w:rsid w:val="65711670"/>
    <w:rsid w:val="65AE7E08"/>
    <w:rsid w:val="65C63372"/>
    <w:rsid w:val="662C60B7"/>
    <w:rsid w:val="66613222"/>
    <w:rsid w:val="668C29E2"/>
    <w:rsid w:val="668F6486"/>
    <w:rsid w:val="670575BF"/>
    <w:rsid w:val="67F23C6D"/>
    <w:rsid w:val="68D61B92"/>
    <w:rsid w:val="68E33569"/>
    <w:rsid w:val="69E4001D"/>
    <w:rsid w:val="6A095614"/>
    <w:rsid w:val="6A2B4C32"/>
    <w:rsid w:val="6AEA3DA1"/>
    <w:rsid w:val="6AF07B7F"/>
    <w:rsid w:val="6B2F1B41"/>
    <w:rsid w:val="6B4E2D3E"/>
    <w:rsid w:val="6C091100"/>
    <w:rsid w:val="6C530C66"/>
    <w:rsid w:val="6C8C3392"/>
    <w:rsid w:val="6E550CC4"/>
    <w:rsid w:val="6E943BB5"/>
    <w:rsid w:val="6EBC13EB"/>
    <w:rsid w:val="6EBE3907"/>
    <w:rsid w:val="6F6F4C26"/>
    <w:rsid w:val="6FEF16BE"/>
    <w:rsid w:val="70B43760"/>
    <w:rsid w:val="70DE0D35"/>
    <w:rsid w:val="70DF14BB"/>
    <w:rsid w:val="70F01005"/>
    <w:rsid w:val="727A15DA"/>
    <w:rsid w:val="72DA63FB"/>
    <w:rsid w:val="73584999"/>
    <w:rsid w:val="738A4F1A"/>
    <w:rsid w:val="7449069D"/>
    <w:rsid w:val="74573835"/>
    <w:rsid w:val="75056005"/>
    <w:rsid w:val="758B5B61"/>
    <w:rsid w:val="75B46B29"/>
    <w:rsid w:val="75E7504D"/>
    <w:rsid w:val="75EF53B2"/>
    <w:rsid w:val="760B7E8B"/>
    <w:rsid w:val="76B10E65"/>
    <w:rsid w:val="76D01A14"/>
    <w:rsid w:val="77B238DE"/>
    <w:rsid w:val="786372CE"/>
    <w:rsid w:val="78D003F8"/>
    <w:rsid w:val="79522E9F"/>
    <w:rsid w:val="79BF4A66"/>
    <w:rsid w:val="79EA6FF3"/>
    <w:rsid w:val="79FF6F80"/>
    <w:rsid w:val="7A350790"/>
    <w:rsid w:val="7A8D2380"/>
    <w:rsid w:val="7AC23E20"/>
    <w:rsid w:val="7C015992"/>
    <w:rsid w:val="7CE92D02"/>
    <w:rsid w:val="7D893333"/>
    <w:rsid w:val="7E144D2B"/>
    <w:rsid w:val="7E400A43"/>
    <w:rsid w:val="7E6873EC"/>
    <w:rsid w:val="7F202C72"/>
    <w:rsid w:val="7FA53D28"/>
    <w:rsid w:val="7FAF54D3"/>
    <w:rsid w:val="7FB37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link w:val="61"/>
    <w:qFormat/>
    <w:uiPriority w:val="0"/>
    <w:pPr>
      <w:spacing w:after="120"/>
    </w:pPr>
    <w:rPr>
      <w:rFonts w:ascii="Times New Roman" w:hAnsi="Times New Roman" w:cs="Times New Roman"/>
      <w:szCs w:val="20"/>
    </w:rPr>
  </w:style>
  <w:style w:type="paragraph" w:styleId="19">
    <w:name w:val="Body Text Indent"/>
    <w:basedOn w:val="1"/>
    <w:link w:val="65"/>
    <w:qFormat/>
    <w:uiPriority w:val="99"/>
    <w:pPr>
      <w:spacing w:after="120"/>
      <w:ind w:left="420" w:leftChars="200"/>
    </w:pPr>
    <w:rPr>
      <w:rFonts w:ascii="Times New Roman" w:hAnsi="Times New Roman" w:cs="Times New Roman"/>
      <w:szCs w:val="24"/>
    </w:rPr>
  </w:style>
  <w:style w:type="paragraph" w:styleId="20">
    <w:name w:val="toc 5"/>
    <w:basedOn w:val="1"/>
    <w:next w:val="1"/>
    <w:unhideWhenUsed/>
    <w:qFormat/>
    <w:uiPriority w:val="0"/>
    <w:pPr>
      <w:ind w:left="960"/>
      <w:jc w:val="left"/>
    </w:pPr>
    <w:rPr>
      <w:sz w:val="18"/>
      <w:szCs w:val="18"/>
    </w:rPr>
  </w:style>
  <w:style w:type="paragraph" w:styleId="21">
    <w:name w:val="toc 3"/>
    <w:basedOn w:val="1"/>
    <w:next w:val="1"/>
    <w:unhideWhenUsed/>
    <w:qFormat/>
    <w:uiPriority w:val="39"/>
    <w:pPr>
      <w:ind w:left="480"/>
      <w:jc w:val="left"/>
    </w:pPr>
    <w:rPr>
      <w:i/>
      <w:sz w:val="22"/>
    </w:rPr>
  </w:style>
  <w:style w:type="paragraph" w:styleId="22">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3">
    <w:name w:val="toc 8"/>
    <w:basedOn w:val="1"/>
    <w:next w:val="1"/>
    <w:unhideWhenUsed/>
    <w:qFormat/>
    <w:uiPriority w:val="0"/>
    <w:pPr>
      <w:ind w:left="1680"/>
      <w:jc w:val="left"/>
    </w:pPr>
    <w:rPr>
      <w:sz w:val="18"/>
      <w:szCs w:val="18"/>
    </w:rPr>
  </w:style>
  <w:style w:type="paragraph" w:styleId="24">
    <w:name w:val="Date"/>
    <w:basedOn w:val="1"/>
    <w:next w:val="1"/>
    <w:link w:val="67"/>
    <w:unhideWhenUsed/>
    <w:qFormat/>
    <w:uiPriority w:val="0"/>
    <w:pPr>
      <w:ind w:left="100" w:leftChars="2500"/>
    </w:pPr>
  </w:style>
  <w:style w:type="paragraph" w:styleId="25">
    <w:name w:val="Body Text Indent 2"/>
    <w:basedOn w:val="1"/>
    <w:link w:val="68"/>
    <w:unhideWhenUsed/>
    <w:qFormat/>
    <w:uiPriority w:val="0"/>
    <w:pPr>
      <w:spacing w:after="120" w:line="480" w:lineRule="auto"/>
      <w:ind w:left="420" w:leftChars="200"/>
    </w:pPr>
    <w:rPr>
      <w:rFonts w:ascii="Calibri" w:hAnsi="Calibri"/>
    </w:rPr>
  </w:style>
  <w:style w:type="paragraph" w:styleId="26">
    <w:name w:val="Balloon Text"/>
    <w:basedOn w:val="1"/>
    <w:link w:val="69"/>
    <w:unhideWhenUsed/>
    <w:qFormat/>
    <w:uiPriority w:val="99"/>
    <w:rPr>
      <w:sz w:val="18"/>
      <w:szCs w:val="18"/>
    </w:rPr>
  </w:style>
  <w:style w:type="paragraph" w:styleId="27">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8">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29">
    <w:name w:val="toc 1"/>
    <w:basedOn w:val="1"/>
    <w:next w:val="1"/>
    <w:unhideWhenUsed/>
    <w:qFormat/>
    <w:uiPriority w:val="39"/>
    <w:pPr>
      <w:spacing w:before="120"/>
      <w:jc w:val="left"/>
    </w:pPr>
    <w:rPr>
      <w:b/>
      <w:caps/>
      <w:sz w:val="22"/>
    </w:rPr>
  </w:style>
  <w:style w:type="paragraph" w:styleId="30">
    <w:name w:val="toc 4"/>
    <w:basedOn w:val="1"/>
    <w:next w:val="1"/>
    <w:unhideWhenUsed/>
    <w:qFormat/>
    <w:uiPriority w:val="0"/>
    <w:pPr>
      <w:ind w:left="720"/>
      <w:jc w:val="left"/>
    </w:pPr>
    <w:rPr>
      <w:sz w:val="18"/>
      <w:szCs w:val="18"/>
    </w:rPr>
  </w:style>
  <w:style w:type="paragraph" w:styleId="31">
    <w:name w:val="toc 6"/>
    <w:basedOn w:val="1"/>
    <w:next w:val="1"/>
    <w:unhideWhenUsed/>
    <w:qFormat/>
    <w:uiPriority w:val="0"/>
    <w:pPr>
      <w:ind w:left="1200"/>
      <w:jc w:val="left"/>
    </w:pPr>
    <w:rPr>
      <w:sz w:val="18"/>
      <w:szCs w:val="18"/>
    </w:rPr>
  </w:style>
  <w:style w:type="paragraph" w:styleId="32">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3">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4">
    <w:name w:val="toc 2"/>
    <w:basedOn w:val="1"/>
    <w:next w:val="1"/>
    <w:unhideWhenUsed/>
    <w:qFormat/>
    <w:uiPriority w:val="39"/>
    <w:pPr>
      <w:ind w:left="240"/>
      <w:jc w:val="left"/>
    </w:pPr>
    <w:rPr>
      <w:smallCaps/>
      <w:sz w:val="22"/>
    </w:rPr>
  </w:style>
  <w:style w:type="paragraph" w:styleId="35">
    <w:name w:val="toc 9"/>
    <w:basedOn w:val="1"/>
    <w:next w:val="1"/>
    <w:unhideWhenUsed/>
    <w:qFormat/>
    <w:uiPriority w:val="0"/>
    <w:pPr>
      <w:ind w:left="1920"/>
      <w:jc w:val="left"/>
    </w:pPr>
    <w:rPr>
      <w:sz w:val="18"/>
      <w:szCs w:val="18"/>
    </w:rPr>
  </w:style>
  <w:style w:type="paragraph" w:styleId="36">
    <w:name w:val="Body Text 2"/>
    <w:basedOn w:val="1"/>
    <w:link w:val="73"/>
    <w:qFormat/>
    <w:uiPriority w:val="0"/>
    <w:pPr>
      <w:spacing w:after="120" w:line="480" w:lineRule="auto"/>
    </w:pPr>
    <w:rPr>
      <w:rFonts w:ascii="Times New Roman" w:hAnsi="Times New Roman" w:cs="Times New Roman"/>
      <w:szCs w:val="20"/>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Char"/>
    <w:basedOn w:val="44"/>
    <w:link w:val="2"/>
    <w:qFormat/>
    <w:uiPriority w:val="0"/>
    <w:rPr>
      <w:rFonts w:eastAsia="宋体"/>
      <w:b/>
      <w:bCs/>
      <w:kern w:val="44"/>
      <w:sz w:val="44"/>
      <w:szCs w:val="44"/>
    </w:rPr>
  </w:style>
  <w:style w:type="character" w:customStyle="1" w:styleId="51">
    <w:name w:val="标题 2 Char"/>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Char"/>
    <w:basedOn w:val="44"/>
    <w:link w:val="4"/>
    <w:qFormat/>
    <w:uiPriority w:val="0"/>
    <w:rPr>
      <w:rFonts w:eastAsia="宋体"/>
      <w:b/>
      <w:bCs/>
      <w:kern w:val="2"/>
      <w:sz w:val="32"/>
      <w:szCs w:val="32"/>
    </w:rPr>
  </w:style>
  <w:style w:type="character" w:customStyle="1" w:styleId="53">
    <w:name w:val="标题 4 Char"/>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Char"/>
    <w:basedOn w:val="44"/>
    <w:link w:val="6"/>
    <w:qFormat/>
    <w:uiPriority w:val="9"/>
    <w:rPr>
      <w:rFonts w:eastAsia="宋体"/>
      <w:b/>
      <w:bCs/>
      <w:kern w:val="2"/>
      <w:sz w:val="28"/>
      <w:szCs w:val="28"/>
    </w:rPr>
  </w:style>
  <w:style w:type="character" w:customStyle="1" w:styleId="55">
    <w:name w:val="标题 6 Char"/>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Char"/>
    <w:basedOn w:val="44"/>
    <w:link w:val="8"/>
    <w:qFormat/>
    <w:uiPriority w:val="9"/>
    <w:rPr>
      <w:rFonts w:eastAsia="宋体"/>
      <w:b/>
      <w:bCs/>
      <w:kern w:val="2"/>
      <w:sz w:val="24"/>
      <w:szCs w:val="24"/>
    </w:rPr>
  </w:style>
  <w:style w:type="character" w:customStyle="1" w:styleId="57">
    <w:name w:val="标题 8 Char"/>
    <w:basedOn w:val="44"/>
    <w:link w:val="9"/>
    <w:qFormat/>
    <w:uiPriority w:val="9"/>
    <w:rPr>
      <w:rFonts w:asciiTheme="majorHAnsi" w:hAnsiTheme="majorHAnsi" w:eastAsiaTheme="majorEastAsia" w:cstheme="majorBidi"/>
      <w:kern w:val="2"/>
      <w:sz w:val="24"/>
      <w:szCs w:val="24"/>
    </w:rPr>
  </w:style>
  <w:style w:type="character" w:customStyle="1" w:styleId="58">
    <w:name w:val="标题 9 Char"/>
    <w:basedOn w:val="44"/>
    <w:link w:val="10"/>
    <w:qFormat/>
    <w:uiPriority w:val="0"/>
    <w:rPr>
      <w:rFonts w:asciiTheme="majorHAnsi" w:hAnsiTheme="majorHAnsi" w:eastAsiaTheme="majorEastAsia" w:cstheme="majorBidi"/>
      <w:kern w:val="2"/>
      <w:sz w:val="24"/>
      <w:szCs w:val="21"/>
    </w:rPr>
  </w:style>
  <w:style w:type="character" w:customStyle="1" w:styleId="59">
    <w:name w:val="批注文字 Char"/>
    <w:basedOn w:val="44"/>
    <w:link w:val="17"/>
    <w:qFormat/>
    <w:uiPriority w:val="99"/>
    <w:rPr>
      <w:sz w:val="24"/>
    </w:rPr>
  </w:style>
  <w:style w:type="character" w:customStyle="1" w:styleId="60">
    <w:name w:val="批注主题 Char"/>
    <w:basedOn w:val="59"/>
    <w:link w:val="40"/>
    <w:qFormat/>
    <w:uiPriority w:val="99"/>
    <w:rPr>
      <w:b/>
      <w:bCs/>
      <w:sz w:val="24"/>
    </w:rPr>
  </w:style>
  <w:style w:type="character" w:customStyle="1" w:styleId="61">
    <w:name w:val="正文文本 Char"/>
    <w:basedOn w:val="44"/>
    <w:link w:val="18"/>
    <w:qFormat/>
    <w:uiPriority w:val="99"/>
    <w:rPr>
      <w:rFonts w:ascii="Times New Roman" w:hAnsi="Times New Roman" w:eastAsia="宋体" w:cs="Times New Roman"/>
      <w:szCs w:val="20"/>
    </w:rPr>
  </w:style>
  <w:style w:type="character" w:customStyle="1" w:styleId="62">
    <w:name w:val="正文首行缩进 Char"/>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Char"/>
    <w:link w:val="13"/>
    <w:qFormat/>
    <w:uiPriority w:val="0"/>
    <w:rPr>
      <w:rFonts w:ascii="Times New Roman" w:hAnsi="Times New Roman" w:eastAsia="方正细黑一简体" w:cs="Times New Roman"/>
      <w:szCs w:val="24"/>
      <w:lang w:val="zh-CN" w:eastAsia="zh-CN"/>
    </w:rPr>
  </w:style>
  <w:style w:type="character" w:customStyle="1" w:styleId="64">
    <w:name w:val="文档结构图 Char"/>
    <w:basedOn w:val="44"/>
    <w:link w:val="16"/>
    <w:qFormat/>
    <w:uiPriority w:val="0"/>
    <w:rPr>
      <w:rFonts w:ascii="Heiti SC Light" w:eastAsia="Heiti SC Light"/>
      <w:sz w:val="24"/>
      <w:szCs w:val="24"/>
    </w:rPr>
  </w:style>
  <w:style w:type="character" w:customStyle="1" w:styleId="65">
    <w:name w:val="正文文本缩进 Char"/>
    <w:basedOn w:val="44"/>
    <w:link w:val="19"/>
    <w:qFormat/>
    <w:uiPriority w:val="99"/>
    <w:rPr>
      <w:rFonts w:ascii="Times New Roman" w:hAnsi="Times New Roman" w:eastAsia="宋体" w:cs="Times New Roman"/>
      <w:szCs w:val="24"/>
    </w:rPr>
  </w:style>
  <w:style w:type="character" w:customStyle="1" w:styleId="66">
    <w:name w:val="纯文本 Char"/>
    <w:link w:val="22"/>
    <w:qFormat/>
    <w:uiPriority w:val="0"/>
    <w:rPr>
      <w:rFonts w:ascii="宋体" w:hAnsi="Courier New" w:eastAsia="宋体"/>
      <w:szCs w:val="20"/>
    </w:rPr>
  </w:style>
  <w:style w:type="character" w:customStyle="1" w:styleId="67">
    <w:name w:val="日期 Char"/>
    <w:basedOn w:val="44"/>
    <w:link w:val="24"/>
    <w:qFormat/>
    <w:uiPriority w:val="0"/>
  </w:style>
  <w:style w:type="character" w:customStyle="1" w:styleId="68">
    <w:name w:val="正文文本缩进 2 Char"/>
    <w:link w:val="25"/>
    <w:qFormat/>
    <w:uiPriority w:val="0"/>
    <w:rPr>
      <w:rFonts w:ascii="Calibri" w:hAnsi="Calibri"/>
    </w:rPr>
  </w:style>
  <w:style w:type="character" w:customStyle="1" w:styleId="69">
    <w:name w:val="批注框文本 Char"/>
    <w:basedOn w:val="44"/>
    <w:link w:val="26"/>
    <w:qFormat/>
    <w:uiPriority w:val="99"/>
    <w:rPr>
      <w:sz w:val="18"/>
      <w:szCs w:val="18"/>
    </w:rPr>
  </w:style>
  <w:style w:type="character" w:customStyle="1" w:styleId="70">
    <w:name w:val="页脚 Char"/>
    <w:basedOn w:val="44"/>
    <w:link w:val="27"/>
    <w:qFormat/>
    <w:uiPriority w:val="99"/>
    <w:rPr>
      <w:rFonts w:ascii="Times New Roman" w:hAnsi="Times New Roman" w:eastAsia="宋体" w:cs="Times New Roman"/>
      <w:sz w:val="18"/>
      <w:szCs w:val="20"/>
    </w:rPr>
  </w:style>
  <w:style w:type="character" w:customStyle="1" w:styleId="71">
    <w:name w:val="页眉 Char"/>
    <w:basedOn w:val="44"/>
    <w:link w:val="28"/>
    <w:qFormat/>
    <w:uiPriority w:val="99"/>
    <w:rPr>
      <w:rFonts w:ascii="Times New Roman" w:hAnsi="Times New Roman" w:eastAsia="宋体" w:cs="Times New Roman"/>
      <w:sz w:val="18"/>
      <w:szCs w:val="20"/>
    </w:rPr>
  </w:style>
  <w:style w:type="character" w:customStyle="1" w:styleId="72">
    <w:name w:val="正文文本缩进 3 Char"/>
    <w:basedOn w:val="44"/>
    <w:link w:val="32"/>
    <w:semiHidden/>
    <w:qFormat/>
    <w:uiPriority w:val="99"/>
    <w:rPr>
      <w:sz w:val="16"/>
      <w:szCs w:val="16"/>
    </w:rPr>
  </w:style>
  <w:style w:type="character" w:customStyle="1" w:styleId="73">
    <w:name w:val="正文文本 2 Char"/>
    <w:basedOn w:val="44"/>
    <w:link w:val="36"/>
    <w:qFormat/>
    <w:uiPriority w:val="0"/>
    <w:rPr>
      <w:rFonts w:ascii="Times New Roman" w:hAnsi="Times New Roman" w:eastAsia="宋体" w:cs="Times New Roman"/>
      <w:szCs w:val="20"/>
    </w:rPr>
  </w:style>
  <w:style w:type="character" w:customStyle="1" w:styleId="74">
    <w:name w:val="HTML 预设格式 Char"/>
    <w:basedOn w:val="44"/>
    <w:link w:val="37"/>
    <w:semiHidden/>
    <w:qFormat/>
    <w:uiPriority w:val="99"/>
    <w:rPr>
      <w:rFonts w:ascii="宋体" w:hAnsi="宋体" w:eastAsia="宋体" w:cs="宋体"/>
      <w:kern w:val="0"/>
      <w:sz w:val="24"/>
      <w:szCs w:val="24"/>
    </w:rPr>
  </w:style>
  <w:style w:type="character" w:customStyle="1" w:styleId="75">
    <w:name w:val="普通(网站) Char"/>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0"/>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textAlignment w:val="baseline"/>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next w:val="80"/>
    <w:link w:val="83"/>
    <w:qFormat/>
    <w:uiPriority w:val="0"/>
    <w:pPr>
      <w:keepNext w:val="0"/>
      <w:keepLines w:val="0"/>
      <w:widowControl/>
      <w:numPr>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next w:val="80"/>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next w:val="80"/>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next w:val="80"/>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next w:val="80"/>
    <w:qFormat/>
    <w:uiPriority w:val="0"/>
    <w:pPr>
      <w:outlineLvl w:val="4"/>
    </w:pPr>
    <w:rPr>
      <w:bCs/>
    </w:rPr>
  </w:style>
  <w:style w:type="paragraph" w:customStyle="1" w:styleId="91">
    <w:name w:val="GW-标题6"/>
    <w:basedOn w:val="90"/>
    <w:next w:val="80"/>
    <w:qFormat/>
    <w:uiPriority w:val="0"/>
    <w:pPr>
      <w:snapToGrid w:val="0"/>
      <w:outlineLvl w:val="5"/>
    </w:pPr>
    <w:rPr>
      <w:bCs w:val="0"/>
      <w:sz w:val="24"/>
    </w:rPr>
  </w:style>
  <w:style w:type="paragraph" w:customStyle="1" w:styleId="92">
    <w:name w:val="GW-标题7"/>
    <w:basedOn w:val="91"/>
    <w:next w:val="80"/>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locked/>
    <w:uiPriority w:val="0"/>
    <w:rPr>
      <w:rFonts w:ascii="Calibri" w:hAnsi="Calibri" w:eastAsia="宋体" w:cs="Times New Roman"/>
      <w:kern w:val="0"/>
      <w:sz w:val="22"/>
      <w:szCs w:val="20"/>
    </w:rPr>
  </w:style>
  <w:style w:type="paragraph" w:customStyle="1" w:styleId="110">
    <w:name w:val="GW-标题8"/>
    <w:basedOn w:val="92"/>
    <w:next w:val="80"/>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next w:val="132"/>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locked/>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next w:val="18"/>
    <w:qFormat/>
    <w:uiPriority w:val="0"/>
    <w:pPr>
      <w:numPr>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textAlignment w:val="baseline"/>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next w:val="18"/>
    <w:qFormat/>
    <w:uiPriority w:val="0"/>
    <w:pPr>
      <w:numPr>
        <w:numId w:val="7"/>
      </w:numPr>
      <w:tabs>
        <w:tab w:val="left" w:pos="961"/>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next w:val="13"/>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next w:val="1"/>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next w:val="18"/>
    <w:qFormat/>
    <w:uiPriority w:val="0"/>
    <w:pPr>
      <w:numPr>
        <w:numId w:val="7"/>
      </w:numPr>
      <w:tabs>
        <w:tab w:val="left" w:pos="961"/>
        <w:tab w:val="left" w:pos="1441"/>
      </w:tabs>
    </w:pPr>
    <w:rPr>
      <w:rFonts w:ascii="Cambria" w:hAnsi="Cambria" w:eastAsia="宋体" w:cs="Times New Roman"/>
      <w:sz w:val="30"/>
    </w:rPr>
  </w:style>
  <w:style w:type="paragraph" w:customStyle="1" w:styleId="175">
    <w:name w:val="段落标题"/>
    <w:basedOn w:val="1"/>
    <w:next w:val="13"/>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next w:val="18"/>
    <w:qFormat/>
    <w:uiPriority w:val="0"/>
    <w:pPr>
      <w:numPr>
        <w:ilvl w:val="0"/>
        <w:numId w:val="7"/>
      </w:numPr>
    </w:pPr>
    <w:rPr>
      <w:rFonts w:ascii="Cambria" w:hAnsi="Cambria" w:eastAsia="宋体" w:cs="Times New Roman"/>
      <w:b w:val="0"/>
    </w:rPr>
  </w:style>
  <w:style w:type="paragraph" w:customStyle="1" w:styleId="178">
    <w:name w:val="多级标题5"/>
    <w:basedOn w:val="6"/>
    <w:next w:val="18"/>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napToGrid w:val="0"/>
      <w:spacing w:val="4"/>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5901-3F8A-4015-A380-C7DCA120690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13956</Words>
  <Characters>15975</Characters>
  <Lines>90</Lines>
  <Paragraphs>25</Paragraphs>
  <TotalTime>19</TotalTime>
  <ScaleCrop>false</ScaleCrop>
  <LinksUpToDate>false</LinksUpToDate>
  <CharactersWithSpaces>16407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艳艳子</cp:lastModifiedBy>
  <cp:lastPrinted>2022-04-11T00:54:00Z</cp:lastPrinted>
  <dcterms:modified xsi:type="dcterms:W3CDTF">2022-05-24T03:09:48Z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5F78302DD2EB4C5B9758703B822FD7DB</vt:lpwstr>
  </property>
</Properties>
</file>