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96B3">
      <w:pPr>
        <w:pStyle w:val="3"/>
        <w:autoSpaceDE w:val="0"/>
        <w:spacing w:before="0" w:beforeAutospacing="0" w:after="0" w:afterAutospacing="0" w:line="600" w:lineRule="exact"/>
        <w:jc w:val="both"/>
        <w:textAlignment w:val="baseline"/>
        <w:rPr>
          <w:rFonts w:ascii="Times New Roman" w:hAnsi="Times New Roman" w:eastAsia="方正黑体_GBK"/>
          <w:kern w:val="2"/>
          <w:sz w:val="32"/>
          <w:szCs w:val="32"/>
        </w:rPr>
      </w:pPr>
      <w:r>
        <w:rPr>
          <w:rFonts w:ascii="Times New Roman" w:hAnsi="Times New Roman" w:eastAsia="方正黑体_GBK"/>
          <w:kern w:val="2"/>
          <w:sz w:val="32"/>
          <w:szCs w:val="32"/>
        </w:rPr>
        <w:t>附件1</w:t>
      </w:r>
    </w:p>
    <w:p w14:paraId="7A5692E4">
      <w:pPr>
        <w:pStyle w:val="3"/>
        <w:autoSpaceDE w:val="0"/>
        <w:spacing w:before="0" w:beforeAutospacing="0" w:after="0" w:afterAutospacing="0" w:line="600" w:lineRule="exact"/>
        <w:ind w:firstLine="880" w:firstLineChars="200"/>
        <w:jc w:val="both"/>
        <w:textAlignment w:val="baseline"/>
        <w:rPr>
          <w:rFonts w:ascii="Times New Roman" w:hAnsi="Times New Roman" w:eastAsia="方正小标宋_GBK"/>
          <w:bCs/>
          <w:sz w:val="44"/>
          <w:szCs w:val="44"/>
        </w:rPr>
      </w:pPr>
    </w:p>
    <w:p w14:paraId="29D110B8">
      <w:pPr>
        <w:pStyle w:val="3"/>
        <w:autoSpaceDE w:val="0"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小标宋_GBK"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/>
          <w:bCs/>
          <w:sz w:val="44"/>
          <w:szCs w:val="44"/>
        </w:rPr>
        <w:t>2025年</w:t>
      </w:r>
      <w:r>
        <w:rPr>
          <w:rFonts w:ascii="Times New Roman" w:hAnsi="Times New Roman" w:eastAsia="方正小标宋_GBK"/>
          <w:bCs/>
          <w:sz w:val="44"/>
          <w:szCs w:val="44"/>
        </w:rPr>
        <w:t>教育咨政决策</w:t>
      </w:r>
      <w:r>
        <w:rPr>
          <w:rFonts w:ascii="Times New Roman" w:hAnsi="Times New Roman" w:eastAsia="方正小标宋_GBK"/>
          <w:kern w:val="2"/>
          <w:sz w:val="44"/>
          <w:szCs w:val="44"/>
        </w:rPr>
        <w:t>论文参考选题</w:t>
      </w:r>
    </w:p>
    <w:bookmarkEnd w:id="0"/>
    <w:p w14:paraId="2EB4F164">
      <w:pPr>
        <w:pStyle w:val="3"/>
        <w:autoSpaceDE w:val="0"/>
        <w:spacing w:before="0" w:beforeAutospacing="0" w:after="0" w:afterAutospacing="0" w:line="600" w:lineRule="exact"/>
        <w:jc w:val="center"/>
        <w:textAlignment w:val="baseline"/>
        <w:rPr>
          <w:rFonts w:ascii="Times New Roman" w:hAnsi="Times New Roman" w:eastAsia="方正楷体_GBK" w:cs="楷体"/>
          <w:kern w:val="2"/>
          <w:sz w:val="32"/>
          <w:szCs w:val="32"/>
        </w:rPr>
      </w:pPr>
      <w:r>
        <w:rPr>
          <w:rFonts w:hint="eastAsia" w:ascii="Times New Roman" w:hAnsi="Times New Roman" w:eastAsia="方正楷体_GBK" w:cs="楷体"/>
          <w:kern w:val="2"/>
          <w:sz w:val="32"/>
          <w:szCs w:val="32"/>
        </w:rPr>
        <w:t>（包括但不限于以下选题）</w:t>
      </w:r>
    </w:p>
    <w:p w14:paraId="05FEB218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楷体" w:cs="楷体"/>
          <w:kern w:val="2"/>
          <w:sz w:val="32"/>
          <w:szCs w:val="32"/>
        </w:rPr>
      </w:pPr>
    </w:p>
    <w:p w14:paraId="4CFCFEFF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1.重庆教育科技人才一体化推进策略</w:t>
      </w:r>
    </w:p>
    <w:p w14:paraId="143E16FF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2.重庆教育服务新时代西部大开发重要战略支点的战略研究</w:t>
      </w:r>
    </w:p>
    <w:p w14:paraId="4850A234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3.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重庆内陆教育开放高地建设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的对策建议</w:t>
      </w:r>
    </w:p>
    <w:p w14:paraId="676A6A86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4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.重庆超大城市现代化教育治理研究</w:t>
      </w:r>
    </w:p>
    <w:p w14:paraId="487F329C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深化成渝地区教育协同合作思考</w:t>
      </w:r>
    </w:p>
    <w:p w14:paraId="796C2432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6.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人工智能赋能下的高等教育创新探索</w:t>
      </w:r>
    </w:p>
    <w:p w14:paraId="160ABB53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7.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人工智能助力基础教育教学深层次变革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 xml:space="preserve">思考 </w:t>
      </w:r>
    </w:p>
    <w:p w14:paraId="7141B244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8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红岩文化育人体系改革的几点建议</w:t>
      </w:r>
    </w:p>
    <w:p w14:paraId="60D47FD8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9.推进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“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双一流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”和特色高水平大学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建设的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建议</w:t>
      </w:r>
    </w:p>
    <w:p w14:paraId="3AC3D103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1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0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构建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重庆高等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教育高质量发展的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建议</w:t>
      </w:r>
    </w:p>
    <w:p w14:paraId="66636B4B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.优化高等教育学科专业结构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思考</w:t>
      </w:r>
    </w:p>
    <w:p w14:paraId="6E88DD5B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推进高校科技创新体系建设</w:t>
      </w:r>
    </w:p>
    <w:p w14:paraId="297222BE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13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.加强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高校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基础研究的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对策建议</w:t>
      </w:r>
    </w:p>
    <w:p w14:paraId="5912DF34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14.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加强拔尖创新人才发现和培养机制研究</w:t>
      </w:r>
    </w:p>
    <w:p w14:paraId="47CD2C88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.持续深化高等教育综合改革建议</w:t>
      </w:r>
    </w:p>
    <w:p w14:paraId="0F36DFA1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6.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完善现代化教育治理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体系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思考</w:t>
      </w:r>
    </w:p>
    <w:p w14:paraId="3A59E037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17.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深化新时代教育评价改革的建议</w:t>
      </w:r>
    </w:p>
    <w:p w14:paraId="749A57AD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方正仿宋_GBK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18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.深化教育领</w:t>
      </w:r>
      <w:r>
        <w:rPr>
          <w:rFonts w:hint="eastAsia" w:ascii="方正仿宋_GBK" w:hAnsi="Times New Roman" w:eastAsia="方正仿宋_GBK"/>
          <w:color w:val="000000"/>
          <w:kern w:val="2"/>
          <w:sz w:val="32"/>
          <w:szCs w:val="32"/>
          <w:lang w:val="en"/>
        </w:rPr>
        <w:t>域“放管服”改革的建议</w:t>
      </w:r>
    </w:p>
    <w:p w14:paraId="07E115F1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19.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加强和改进学校思想政治教育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建议</w:t>
      </w:r>
    </w:p>
    <w:p w14:paraId="75DF1B04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20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构建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“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政产学研用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”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深度融合新机制的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建议</w:t>
      </w:r>
    </w:p>
    <w:p w14:paraId="6E880F8D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.加快构建现代职业教育体系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思考</w:t>
      </w:r>
    </w:p>
    <w:p w14:paraId="7031C9FB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.推进职普融通、产教融合、科教融汇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的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建议</w:t>
      </w:r>
    </w:p>
    <w:p w14:paraId="1D8E7164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23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.优化职业教育类型定位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思考</w:t>
      </w:r>
    </w:p>
    <w:p w14:paraId="2F2A5755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24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.推进大中小学思政课一体化建设的建议</w:t>
      </w:r>
    </w:p>
    <w:p w14:paraId="4587103F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加强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新时代中小学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劳动教育的建议</w:t>
      </w:r>
    </w:p>
    <w:p w14:paraId="66B1EAEE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6.健全教师培养培训体系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思考</w:t>
      </w:r>
    </w:p>
    <w:p w14:paraId="63470E32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27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.新时代高校教师队伍建设改革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思考</w:t>
      </w:r>
    </w:p>
    <w:p w14:paraId="4E45A175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28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夯实筑牢教育强市基点（基础教育）的政策研究</w:t>
      </w:r>
    </w:p>
    <w:p w14:paraId="6AB7E5C2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29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推进义务教育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优质均衡发展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面临的问题及对策建议</w:t>
      </w:r>
    </w:p>
    <w:p w14:paraId="3B52F02F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30.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推动区域特色优质高中建设的思考</w:t>
      </w:r>
    </w:p>
    <w:p w14:paraId="0FEB275E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加强校园足球建设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的对策建议</w:t>
      </w:r>
    </w:p>
    <w:p w14:paraId="5BA3828D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32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当前办好综合高中面临的主要问题和对策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建议</w:t>
      </w:r>
    </w:p>
    <w:p w14:paraId="3BB4780E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33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“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双减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”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政策落地与义务教育学校课后服务研究</w:t>
      </w:r>
    </w:p>
    <w:p w14:paraId="3E0A843C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34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.构建优质均衡的基本公共教育服务体系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思考</w:t>
      </w:r>
    </w:p>
    <w:p w14:paraId="7E47D159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35.构建学校家庭社会协同育人体系的建议</w:t>
      </w:r>
    </w:p>
    <w:p w14:paraId="1C25193C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3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6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构建基础教育良好教育生态的建议</w:t>
      </w:r>
    </w:p>
    <w:p w14:paraId="09B006E0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3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7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.推进义务教育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紧密型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集团化办学的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建议</w:t>
      </w:r>
    </w:p>
    <w:p w14:paraId="51C373AD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38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.学前教育质量监测与评价体系研究</w:t>
      </w:r>
    </w:p>
    <w:p w14:paraId="4000176D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39.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人口负增长大背景下优化学校布局结构的建议</w:t>
      </w:r>
    </w:p>
    <w:p w14:paraId="3AA96DDE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40.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办好乡村教育的对策建议</w:t>
      </w:r>
    </w:p>
    <w:p w14:paraId="464DB2C8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.职业教育助力乡村振兴的建议</w:t>
      </w:r>
    </w:p>
    <w:p w14:paraId="66000CD5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4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加强学生心理健康教育的问题及对策</w:t>
      </w:r>
    </w:p>
    <w:p w14:paraId="30AFCCFF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43.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提升依法治校和管理水平的对策建议</w:t>
      </w:r>
    </w:p>
    <w:p w14:paraId="1ABD0726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44.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落实中小学党组织领导的校长负责制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面临的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问题及建议</w:t>
      </w:r>
    </w:p>
    <w:p w14:paraId="0981E525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中小学法治副校长制度建设</w:t>
      </w:r>
    </w:p>
    <w:p w14:paraId="694C2748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6.加强校园法治文化建设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研究</w:t>
      </w:r>
    </w:p>
    <w:p w14:paraId="2AB72510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47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校园矛盾纠纷化解面临的突出问题和应对策略</w:t>
      </w:r>
    </w:p>
    <w:p w14:paraId="6AECCBD1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48.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预防和减少学生非正常死亡的对策研究</w:t>
      </w:r>
    </w:p>
    <w:p w14:paraId="4C3551EC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49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预防和减少校园欺凌事件的思考</w:t>
      </w:r>
    </w:p>
    <w:p w14:paraId="2D18F13D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0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加强未成年学生预防性侵害工作的建议</w:t>
      </w:r>
    </w:p>
    <w:p w14:paraId="383B49BA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1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加强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校外培训机构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监管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的建议</w:t>
      </w:r>
    </w:p>
    <w:p w14:paraId="03FDAAB3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.高校毕业生结构性就业矛盾的原因及其对策</w:t>
      </w:r>
    </w:p>
    <w:p w14:paraId="2A5FD9AA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3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.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毕业生留渝来渝就业创业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对策建议</w:t>
      </w:r>
    </w:p>
    <w:p w14:paraId="5257A4D1">
      <w:pPr>
        <w:pStyle w:val="3"/>
        <w:autoSpaceDE w:val="0"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</w:pP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5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</w:rPr>
        <w:t>4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.关于我市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构建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泛在可及</w:t>
      </w:r>
      <w:r>
        <w:rPr>
          <w:rFonts w:ascii="Times New Roman" w:hAnsi="Times New Roman" w:eastAsia="方正仿宋_GBK"/>
          <w:color w:val="000000"/>
          <w:kern w:val="2"/>
          <w:sz w:val="32"/>
          <w:szCs w:val="32"/>
          <w:lang w:val="en"/>
        </w:rPr>
        <w:t>终身教育体系</w:t>
      </w:r>
      <w:r>
        <w:rPr>
          <w:rFonts w:hint="eastAsia" w:ascii="Times New Roman" w:hAnsi="Times New Roman" w:eastAsia="方正仿宋_GBK"/>
          <w:color w:val="000000"/>
          <w:kern w:val="2"/>
          <w:sz w:val="32"/>
          <w:szCs w:val="32"/>
          <w:lang w:val="en"/>
        </w:rPr>
        <w:t>的几点建议</w:t>
      </w:r>
    </w:p>
    <w:p w14:paraId="1BFCD4A9">
      <w:pPr>
        <w:pStyle w:val="3"/>
        <w:autoSpaceDE w:val="0"/>
        <w:spacing w:before="0" w:beforeAutospacing="0" w:after="0" w:afterAutospacing="0" w:line="600" w:lineRule="exact"/>
        <w:ind w:firstLine="596" w:firstLineChars="200"/>
        <w:jc w:val="both"/>
        <w:textAlignment w:val="baseline"/>
        <w:rPr>
          <w:rFonts w:hint="eastAsia" w:ascii="Times New Roman" w:hAnsi="Times New Roman" w:eastAsia="方正仿宋_GBK"/>
          <w:spacing w:val="-11"/>
          <w:kern w:val="2"/>
          <w:sz w:val="32"/>
          <w:szCs w:val="32"/>
        </w:rPr>
      </w:pPr>
      <w:r>
        <w:rPr>
          <w:rFonts w:ascii="Times New Roman" w:hAnsi="Times New Roman" w:eastAsia="方正仿宋_GBK"/>
          <w:color w:val="000000"/>
          <w:spacing w:val="-11"/>
          <w:kern w:val="2"/>
          <w:sz w:val="32"/>
          <w:szCs w:val="32"/>
          <w:lang w:val="en"/>
        </w:rPr>
        <w:t>55.</w:t>
      </w:r>
      <w:r>
        <w:rPr>
          <w:rFonts w:hint="eastAsia" w:ascii="Times New Roman" w:hAnsi="Times New Roman" w:eastAsia="方正仿宋_GBK"/>
          <w:color w:val="000000"/>
          <w:spacing w:val="-11"/>
          <w:kern w:val="2"/>
          <w:sz w:val="32"/>
          <w:szCs w:val="32"/>
          <w:lang w:val="en"/>
        </w:rPr>
        <w:t>加强“留学重庆”品牌建设服务内陆开放合作引领区的建议</w:t>
      </w:r>
    </w:p>
    <w:p w14:paraId="1296A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916C0"/>
    <w:rsid w:val="0D2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仿宋_GB2312"/>
      <w:sz w:val="32"/>
      <w:szCs w:val="24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2025-07-10T06:31:00Z</dcterms:created>
  <dc:creator>May</dc:creator>
  <cp:lastModifiedBy>May</cp:lastModifiedBy>
  <dcterms:modified xsi:type="dcterms:W3CDTF">2025-07-10T06:31:26Z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6F386CDB90D14590992B35B52E02525B_11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