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40" w:lineRule="exact"/>
        <w:ind w:right="0" w:rightChars="0"/>
        <w:jc w:val="left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40" w:lineRule="exact"/>
        <w:ind w:right="0" w:rightChars="0"/>
        <w:jc w:val="left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/>
        </w:rPr>
        <w:t>2024年民政标准立项指南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为深入贯彻《国家标准化发展纲要》及行动计划，全面落实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eastAsia="zh-CN"/>
        </w:rPr>
        <w:t>《关于全面推进新时代民政标准化工作的意见》要求，切实做好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  <w:t>202</w:t>
      </w:r>
      <w:r>
        <w:rPr>
          <w:rFonts w:hint="default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  <w:t>年民政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eastAsia="zh-CN"/>
        </w:rPr>
        <w:t>国家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</w:rPr>
        <w:t>标准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eastAsia="zh-CN"/>
        </w:rPr>
        <w:t>、行业标准立项工作，制定本指南。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eastAsia="zh-CN"/>
        </w:rPr>
        <w:t>一、立项重点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0"/>
          <w:kern w:val="0"/>
          <w:sz w:val="32"/>
          <w:szCs w:val="32"/>
          <w:lang w:val="en-US" w:eastAsia="zh-CN"/>
        </w:rPr>
        <w:t>（一）残疾人福利。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0"/>
          <w:sz w:val="32"/>
          <w:szCs w:val="32"/>
          <w:lang w:val="en-US" w:eastAsia="zh-CN"/>
        </w:rPr>
        <w:t>1.残疾人服务标准。包括但不限于残疾人康复服务、精神障碍社区康复服务、精神卫生福利服务、重度残疾人托养照护服务、残疾人能力综合评估等方面相关标准。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0"/>
          <w:sz w:val="32"/>
          <w:szCs w:val="32"/>
          <w:lang w:val="en-US" w:eastAsia="zh-CN"/>
        </w:rPr>
        <w:t>2.康复辅助器具标准。隶属于《中国康复辅助器具目录（2023年版）》（民政部公告第559号）或国家标准《康复辅助器具 分类和术语》（GB/T16432-2016）范围的康复辅助器具相关产品和服务标准。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0"/>
          <w:sz w:val="32"/>
          <w:szCs w:val="32"/>
          <w:lang w:val="en-US" w:eastAsia="zh-CN"/>
        </w:rPr>
        <w:t>3.优先支持服务重大国家战略的标准项目、列入《国家基本公共服务标准》中“扶残助残服务”的标准项目、有制定ISO/IEC国际标准潜力的项目，以及国家标准、行业标准修订项目。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0"/>
          <w:kern w:val="0"/>
          <w:sz w:val="32"/>
          <w:szCs w:val="32"/>
          <w:lang w:val="en-US" w:eastAsia="zh-CN"/>
        </w:rPr>
        <w:t>（二）地名管理。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  <w:t>围绕贯彻落实新修订的《地名管理条例》，健全完善地名分类、地名文化保护、地名命名更名、拼写译写、标志设置与管理、区划地名信息化建设等方面标准。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0"/>
          <w:kern w:val="0"/>
          <w:sz w:val="32"/>
          <w:szCs w:val="32"/>
          <w:lang w:val="en-US" w:eastAsia="zh-CN"/>
        </w:rPr>
        <w:t>（三）养老服务。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0"/>
          <w:sz w:val="32"/>
          <w:szCs w:val="32"/>
          <w:lang w:val="en-US" w:eastAsia="zh-CN"/>
        </w:rPr>
        <w:t>1.推荐性国家标准。满足养老服务基础通用、与强制性国家标准配套、对养老行业起引领作用的推荐性国家标准。与养老服务紧密相关的适老化改造标准、基本养老服务标准、养老服务安全标准。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0"/>
          <w:sz w:val="32"/>
          <w:szCs w:val="32"/>
          <w:lang w:val="en-US" w:eastAsia="zh-CN"/>
        </w:rPr>
        <w:t>2.行业标准。居家社区养老、机构养老、农村养老、智慧养老等领域标准；权益保障、人才分类、服务人员管理、服务质量、安全防护、信息资源服务、老年用品等涉及养老服务提供类、支撑保障类行业标准。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0"/>
          <w:kern w:val="0"/>
          <w:sz w:val="32"/>
          <w:szCs w:val="32"/>
          <w:lang w:val="en-US" w:eastAsia="zh-CN"/>
        </w:rPr>
        <w:t>（四）殡葬服务。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  <w:t>1.殡葬服务机构卫生防疫、殡葬职工安全保护（防护）等安全应急方面标准。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  <w:t>2.节地生态安葬、殡仪馆污水排放、污染物协同防治等生态环保方面标准。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  <w:t>3.物联网信息系统、电子证件、远程祭祀服务等数字殡葬和信息化服务方面标准。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  <w:t>4.殡葬设备（用品）制造、检测，殡葬服务质量，以及殡葬品牌建设等方面标准。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0"/>
          <w:kern w:val="0"/>
          <w:sz w:val="32"/>
          <w:szCs w:val="32"/>
          <w:lang w:val="en-US" w:eastAsia="zh-CN"/>
        </w:rPr>
        <w:t>（五）慈善事业。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/>
        </w:rPr>
        <w:t>慈善基本术语，慈善募捐、慈善捐赠、慈善财产、慈善服务等方面标准，慈善组织参与突发事件应对，慈善组织内部治理、项目、知识产权保护和行业自律等方面标准，以及慈善岗位相关标准。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0"/>
          <w:kern w:val="0"/>
          <w:sz w:val="32"/>
          <w:szCs w:val="32"/>
          <w:lang w:val="en-US" w:eastAsia="zh-CN"/>
        </w:rPr>
        <w:t>（六）救助管理。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0"/>
          <w:sz w:val="32"/>
          <w:szCs w:val="32"/>
          <w:lang w:val="en-US" w:eastAsia="zh-CN"/>
        </w:rPr>
        <w:t>1.推荐性国家标准。满足救助管理服务基础通用、对救助管理行业起引领作用的推荐性国家标准。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0"/>
          <w:sz w:val="32"/>
          <w:szCs w:val="32"/>
          <w:lang w:val="en-US" w:eastAsia="zh-CN"/>
        </w:rPr>
        <w:t>2.行业标准。救助管理机构内救助服务、安全防护、工作人员岗位培训，以及救助管理信息化等涉及救助服务提供类、支撑保障类行业标准。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（七）婚姻管理服务。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结婚登记户外颁证服务标准，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颁证场所设置、颁证人员、颁证程序等。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2.婚姻介绍服务标准，包括婚姻介绍机构治理、婚姻介绍人员能力建设，婚姻介绍服务评价等。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3.婚礼服务标准，包括文明简约婚礼流程，婚礼主持策划人员能力建设等。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4.婚姻家庭辅导服务标准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，包括婚姻家庭辅导室设置、婚姻家庭辅导师职业能力建设，婚姻家庭辅导服务评价等。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（八）儿童福利。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儿童福利机构内部管理标准，包括档案管理、安全管理、出入院管理、人员管理等。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儿童福利机构服务相关标准，包括养育、医疗、康复、教育、安置等方面。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收养登记相关标准，包括收养术语、收养登记员能力建设等。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4.未成年人救助保护机构规范运行、内部管理和未成年人救助帮扶、关爱保护等方面标准。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（一）申报项目应围绕党中央、国务院对民政工作提出的新部署、新要求，与现行法律、行政法规、国家标准和行业标准等协调一致，满足国家标准和行业标准制定的一般性要求，突出公益属性。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（二）申报项目应属于民政标准范畴，并充分考虑其在相关民政业务领域标准体系中的位置及作用；申报项目涉及其他领域的，申报前须与相关主管部门协调一致。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（三）申报单位应具有标准研究人员，且有关联领域标准研制经验，保证标准编制工作开展，并配合开展标准的制定、发布和宣贯实施等后续工作。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（四）申报单位应组建具有专业性和广泛代表性的起草组，加强标准必要性和可行性论证评估，</w:t>
      </w:r>
      <w:r>
        <w:rPr>
          <w:rFonts w:hint="eastAsia" w:ascii="方正仿宋_GBK" w:hAnsi="方正仿宋_GBK" w:eastAsia="方正仿宋_GBK" w:cs="方正仿宋_GBK"/>
          <w:color w:val="auto"/>
          <w:spacing w:val="0"/>
          <w:sz w:val="32"/>
          <w:szCs w:val="32"/>
          <w:highlight w:val="none"/>
          <w:lang w:eastAsia="zh-CN"/>
        </w:rPr>
        <w:t>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已开展标准立项研究，具有一定的研究基础，具有相对成熟的标准草案稿。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（五）申报单位应认真检索相关标准数据库，充分考虑并慎重确定标准名称和采标性质（采标项目），立项计划下达后一般不得调整。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六）申报单位应保证标准名称与标准内容的一致性，确保内容设置和标准结构符合相关基础标准要求；应保证标准技术内容的先进性和可操作性，在适应本领域标准化工作现状的同时，体现标准的技术引领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七）申报单位应提供内容完备的编制说明（重点说明技术内容的相关依据），并在立项后各阶段不断完善（如重点说明有关意见分歧处理情况等）。标准修订项目，应重点说明拟修订的主要内容及理由，并提供原标准使用及实施效果说明；采用国际标准的项目，应重点说明采用国际标准技术内容与国内现状的匹配情况，包括国内外指标对比和有关试验验证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1.残疾人福利。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全国残疾人康复和专用设备标准化技术委员会秘书处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张鹏程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010-64465010转8010，13263169520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董智千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010-64465010转8016，18811013711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tc148@crda.com.cn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2.地名管理。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全国地名标准化技术委员会秘书处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010-83518590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dmtc233@163.com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3.养老服务。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全国社会福利服务标准化技术委员会秘书处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  曦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  010-63510181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李星震  010-63561131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 xml:space="preserve">邮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箱：flbwhmsc@163.com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4.殡葬服务。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全国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殡葬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标准化技术委员会秘书处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王志强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18600486790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  箱：565401087@qq.com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5.慈善事业。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全国慈善事业和社会工作标准化技术委员会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王瑞芳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010-58123109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王若雨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010-85322330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qgsgbwh@163.com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6.救助管理。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全国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社会救助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标准化技术委员会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孙月娥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18618467272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箱：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jzgl_mzb@163.com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7.婚姻婚介。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信超强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010-58123257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  箱：hunyinchu705@163.com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8.儿童福利。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蕾  010-58123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邮  箱：149517988@qq.com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NWJjYTM4M2FkYWIxMjk4YjBkY2JmNWZkNzM2NTYifQ=="/>
  </w:docVars>
  <w:rsids>
    <w:rsidRoot w:val="67696B76"/>
    <w:rsid w:val="6769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2024-01-29T01:28:00Z</dcterms:created>
  <dc:creator>Administrator</dc:creator>
  <cp:lastModifiedBy>Administrator</cp:lastModifiedBy>
  <dcterms:modified xsi:type="dcterms:W3CDTF">2024-01-29T01:28:55Z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D9997256EBC94D4A8A12F1BA44963BE2_11</vt:lpwstr>
  </property>
</Properties>
</file>