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EE48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附件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1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：</w:t>
      </w:r>
    </w:p>
    <w:p w14:paraId="07C14156" w14:textId="77777777" w:rsidR="002E6678" w:rsidRPr="000D1177" w:rsidRDefault="002E6678" w:rsidP="002E6678">
      <w:pPr>
        <w:widowControl/>
        <w:shd w:val="clear" w:color="auto" w:fill="FFFFFF"/>
        <w:spacing w:after="240" w:line="520" w:lineRule="exact"/>
        <w:ind w:firstLineChars="221" w:firstLine="887"/>
        <w:jc w:val="center"/>
        <w:rPr>
          <w:rFonts w:ascii="Times New Roman" w:eastAsia="方正仿宋_GBK" w:hAnsi="Times New Roman"/>
          <w:b/>
          <w:color w:val="000000"/>
          <w:sz w:val="40"/>
          <w:szCs w:val="40"/>
        </w:rPr>
      </w:pPr>
      <w:r w:rsidRPr="000D1177">
        <w:rPr>
          <w:rFonts w:ascii="Times New Roman" w:eastAsia="方正仿宋_GBK" w:hAnsi="Times New Roman"/>
          <w:b/>
          <w:color w:val="000000"/>
          <w:sz w:val="40"/>
          <w:szCs w:val="40"/>
        </w:rPr>
        <w:t>学习贯彻习近平总书记</w:t>
      </w:r>
      <w:r w:rsidRPr="000D1177">
        <w:rPr>
          <w:rFonts w:ascii="Times New Roman" w:eastAsia="方正仿宋_GBK" w:hAnsi="Times New Roman"/>
          <w:b/>
          <w:color w:val="000000"/>
          <w:sz w:val="40"/>
          <w:szCs w:val="40"/>
        </w:rPr>
        <w:t>“</w:t>
      </w:r>
      <w:r w:rsidRPr="000D1177">
        <w:rPr>
          <w:rFonts w:ascii="Times New Roman" w:eastAsia="方正仿宋_GBK" w:hAnsi="Times New Roman"/>
          <w:b/>
          <w:color w:val="000000"/>
          <w:sz w:val="40"/>
          <w:szCs w:val="40"/>
        </w:rPr>
        <w:t>七一</w:t>
      </w:r>
      <w:r w:rsidRPr="000D1177">
        <w:rPr>
          <w:rFonts w:ascii="Times New Roman" w:eastAsia="方正仿宋_GBK" w:hAnsi="Times New Roman"/>
          <w:b/>
          <w:color w:val="000000"/>
          <w:sz w:val="40"/>
          <w:szCs w:val="40"/>
        </w:rPr>
        <w:t>”</w:t>
      </w:r>
      <w:r w:rsidRPr="000D1177">
        <w:rPr>
          <w:rFonts w:ascii="Times New Roman" w:eastAsia="方正仿宋_GBK" w:hAnsi="Times New Roman"/>
          <w:b/>
          <w:color w:val="000000"/>
          <w:sz w:val="40"/>
          <w:szCs w:val="40"/>
        </w:rPr>
        <w:t>重要讲话精神专项课题选题指南</w:t>
      </w:r>
    </w:p>
    <w:p w14:paraId="1BF4396A" w14:textId="77777777" w:rsidR="002E6678" w:rsidRPr="00233581" w:rsidRDefault="002E6678" w:rsidP="002E6678">
      <w:pPr>
        <w:widowControl/>
        <w:shd w:val="clear" w:color="auto" w:fill="FFFFFF"/>
        <w:spacing w:after="240" w:line="520" w:lineRule="exact"/>
        <w:ind w:firstLineChars="221" w:firstLine="710"/>
        <w:jc w:val="left"/>
        <w:rPr>
          <w:rFonts w:ascii="Times New Roman" w:eastAsia="方正楷体_GBK" w:hAnsi="Times New Roman"/>
          <w:b/>
          <w:bCs/>
          <w:color w:val="FF0000"/>
          <w:kern w:val="0"/>
          <w:sz w:val="32"/>
          <w:szCs w:val="32"/>
          <w:lang w:bidi="ar"/>
        </w:rPr>
      </w:pPr>
      <w:r w:rsidRPr="00233581">
        <w:rPr>
          <w:rFonts w:ascii="Times New Roman" w:eastAsia="方正楷体_GBK" w:hAnsi="Times New Roman"/>
          <w:b/>
          <w:bCs/>
          <w:color w:val="FF0000"/>
          <w:kern w:val="0"/>
          <w:sz w:val="32"/>
          <w:szCs w:val="32"/>
          <w:lang w:bidi="ar"/>
        </w:rPr>
        <w:t>（下列选题为方向性选题，请结合习近平总书记讲话精神，密切联系特色学科发展方向，自行选择研究角度、研究方法和研究侧重点等拟定题目。）</w:t>
      </w:r>
    </w:p>
    <w:p w14:paraId="034B61B1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1.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关于推动伟大建党精神的融入高校思政教育、专业教育研究；</w:t>
      </w:r>
    </w:p>
    <w:p w14:paraId="7DEF7008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2.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推动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讲话精神进教材、进课堂、进头脑方法或路径研究；</w:t>
      </w:r>
    </w:p>
    <w:p w14:paraId="65A9CD9B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3.“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讲话精神与高校课程思政建设研究；</w:t>
      </w:r>
    </w:p>
    <w:p w14:paraId="3E41970A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4.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高校四史教育常态化方法、机制与路径研究；</w:t>
      </w:r>
    </w:p>
    <w:p w14:paraId="754C2B67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5.“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讲话精神与高校基层党组织建设研究；</w:t>
      </w:r>
    </w:p>
    <w:p w14:paraId="062A0748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6.“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讲话精神与高校学生管理工作研究；</w:t>
      </w:r>
    </w:p>
    <w:p w14:paraId="1566082F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7.“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讲话精神与推进西部陆海大通道建设研究；</w:t>
      </w:r>
    </w:p>
    <w:p w14:paraId="0654C14E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8. 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讲话精神与推进区域绿色发展研究；</w:t>
      </w:r>
    </w:p>
    <w:p w14:paraId="7C8872B9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9. 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讲话精神与重庆推进现代服务业（会展、文化、金融、咨询业等）发展研究；</w:t>
      </w:r>
    </w:p>
    <w:p w14:paraId="19A6158D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10. 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讲话精神与促进共同富裕问题研究；</w:t>
      </w:r>
    </w:p>
    <w:p w14:paraId="13957CE5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lastRenderedPageBreak/>
        <w:t>11. 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讲话精神与成渝地区双城经济圈数字普惠金融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 w:bidi="ar"/>
        </w:rPr>
        <w:t>问题研究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；</w:t>
      </w:r>
    </w:p>
    <w:p w14:paraId="68E51948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12.</w:t>
      </w:r>
      <w:r w:rsidRPr="006E5248">
        <w:rPr>
          <w:rFonts w:ascii="Times New Roman" w:hAnsi="Times New Roman"/>
          <w:color w:val="000000"/>
        </w:rPr>
        <w:t xml:space="preserve"> 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讲话精神与提升政府治理效能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 w:bidi="ar"/>
        </w:rPr>
        <w:t>问题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研究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 w:bidi="ar"/>
        </w:rPr>
        <w:t>；</w:t>
      </w:r>
    </w:p>
    <w:p w14:paraId="3807D2EC" w14:textId="77777777" w:rsidR="002E6678" w:rsidRPr="006E5248" w:rsidRDefault="002E6678" w:rsidP="002E6678">
      <w:pPr>
        <w:widowControl/>
        <w:shd w:val="clear" w:color="auto" w:fill="FFFFFF"/>
        <w:spacing w:after="240" w:line="520" w:lineRule="exact"/>
        <w:ind w:firstLineChars="221" w:firstLine="707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3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.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将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“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七一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”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讲话精神与学校重点学科布局深度融合，自行拟定有关选题。</w:t>
      </w:r>
    </w:p>
    <w:p w14:paraId="439A8AC4" w14:textId="77777777" w:rsidR="007E4C44" w:rsidRPr="002E6678" w:rsidRDefault="007E4C44"/>
    <w:sectPr w:rsidR="007E4C44" w:rsidRPr="002E6678" w:rsidSect="005C5E2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78"/>
    <w:rsid w:val="002E6678"/>
    <w:rsid w:val="005C5E2D"/>
    <w:rsid w:val="007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9E3E5"/>
  <w15:chartTrackingRefBased/>
  <w15:docId w15:val="{FB3B4B1D-740C-F943-A0D5-8A5F8EB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office238</dc:creator>
  <cp:keywords/>
  <dc:description/>
  <cp:lastModifiedBy>office238</cp:lastModifiedBy>
  <cp:revision>1</cp:revision>
  <dcterms:created xsi:type="dcterms:W3CDTF">2021-09-30T05:58:00Z</dcterms:created>
  <dcterms:modified xsi:type="dcterms:W3CDTF">2021-09-30T05:58:00Z</dcterms:modified>
</cp:coreProperties>
</file>