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pPr>
        <w:pStyle w:val="108"/>
        <w:ind w:firstLine="0" w:firstLineChars="0"/>
        <w:jc w:val="center"/>
        <w:rPr>
          <w:rFonts w:asciiTheme="minorEastAsia" w:hAnsiTheme="minorEastAsia" w:eastAsiaTheme="minorEastAsia"/>
        </w:rPr>
      </w:pPr>
    </w:p>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重庆财经学院</w:t>
      </w:r>
    </w:p>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中新金融科技现代产业学院实验实训中心区块链金融平台及智能机器人平台</w:t>
      </w:r>
    </w:p>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采购项目</w:t>
      </w:r>
    </w:p>
    <w:p>
      <w:pPr>
        <w:spacing w:line="900" w:lineRule="exact"/>
        <w:jc w:val="center"/>
        <w:rPr>
          <w:rFonts w:asciiTheme="minorEastAsia" w:hAnsiTheme="minorEastAsia" w:eastAsiaTheme="minorEastAsia"/>
          <w:b/>
          <w:sz w:val="30"/>
          <w:szCs w:val="30"/>
        </w:rPr>
      </w:pPr>
    </w:p>
    <w:p>
      <w:pPr>
        <w:spacing w:line="900" w:lineRule="exact"/>
        <w:jc w:val="center"/>
        <w:rPr>
          <w:rFonts w:asciiTheme="minorEastAsia" w:hAnsiTheme="minorEastAsia" w:eastAsiaTheme="minorEastAsia"/>
          <w:b/>
          <w:sz w:val="30"/>
          <w:szCs w:val="30"/>
        </w:rPr>
      </w:pPr>
    </w:p>
    <w:p>
      <w:pPr>
        <w:spacing w:line="900" w:lineRule="exact"/>
        <w:jc w:val="center"/>
        <w:rPr>
          <w:rFonts w:asciiTheme="minorEastAsia" w:hAnsiTheme="minorEastAsia" w:eastAsiaTheme="minorEastAsia"/>
          <w:b/>
          <w:sz w:val="30"/>
          <w:szCs w:val="30"/>
        </w:rPr>
      </w:pPr>
    </w:p>
    <w:p>
      <w:pPr>
        <w:spacing w:line="276" w:lineRule="auto"/>
        <w:jc w:val="distribute"/>
        <w:rPr>
          <w:rFonts w:ascii="方正黑体_GBK" w:hAnsi="方正黑体_GBK" w:eastAsia="方正黑体_GBK" w:cs="方正黑体_GBK"/>
          <w:b/>
          <w:sz w:val="52"/>
          <w:szCs w:val="52"/>
        </w:rPr>
      </w:pPr>
      <w:r>
        <w:rPr>
          <w:rFonts w:hint="eastAsia" w:ascii="方正黑体_GBK" w:hAnsi="方正黑体_GBK" w:eastAsia="方正黑体_GBK" w:cs="方正黑体_GBK"/>
          <w:b/>
          <w:sz w:val="52"/>
          <w:szCs w:val="52"/>
        </w:rPr>
        <w:t>招</w:t>
      </w:r>
    </w:p>
    <w:p>
      <w:pPr>
        <w:spacing w:line="276" w:lineRule="auto"/>
        <w:jc w:val="distribute"/>
        <w:rPr>
          <w:rFonts w:ascii="方正黑体_GBK" w:hAnsi="方正黑体_GBK" w:eastAsia="方正黑体_GBK" w:cs="方正黑体_GBK"/>
          <w:b/>
          <w:sz w:val="52"/>
          <w:szCs w:val="52"/>
        </w:rPr>
      </w:pPr>
      <w:r>
        <w:rPr>
          <w:rFonts w:hint="eastAsia" w:ascii="方正黑体_GBK" w:hAnsi="方正黑体_GBK" w:eastAsia="方正黑体_GBK" w:cs="方正黑体_GBK"/>
          <w:b/>
          <w:sz w:val="52"/>
          <w:szCs w:val="52"/>
        </w:rPr>
        <w:t>标</w:t>
      </w:r>
    </w:p>
    <w:p>
      <w:pPr>
        <w:spacing w:line="276" w:lineRule="auto"/>
        <w:jc w:val="distribute"/>
        <w:rPr>
          <w:rFonts w:ascii="方正黑体_GBK" w:hAnsi="方正黑体_GBK" w:eastAsia="方正黑体_GBK" w:cs="方正黑体_GBK"/>
          <w:b/>
          <w:sz w:val="52"/>
          <w:szCs w:val="52"/>
        </w:rPr>
      </w:pPr>
      <w:r>
        <w:rPr>
          <w:rFonts w:hint="eastAsia" w:ascii="方正黑体_GBK" w:hAnsi="方正黑体_GBK" w:eastAsia="方正黑体_GBK" w:cs="方正黑体_GBK"/>
          <w:b/>
          <w:sz w:val="52"/>
          <w:szCs w:val="52"/>
        </w:rPr>
        <w:t>文</w:t>
      </w:r>
    </w:p>
    <w:p>
      <w:pPr>
        <w:spacing w:line="276" w:lineRule="auto"/>
        <w:jc w:val="distribute"/>
        <w:rPr>
          <w:rFonts w:ascii="方正黑体_GBK" w:hAnsi="方正黑体_GBK" w:eastAsia="方正黑体_GBK" w:cs="方正黑体_GBK"/>
          <w:b/>
          <w:sz w:val="52"/>
          <w:szCs w:val="52"/>
        </w:rPr>
      </w:pPr>
      <w:r>
        <w:rPr>
          <w:rFonts w:hint="eastAsia" w:ascii="方正黑体_GBK" w:hAnsi="方正黑体_GBK" w:eastAsia="方正黑体_GBK" w:cs="方正黑体_GBK"/>
          <w:b/>
          <w:sz w:val="52"/>
          <w:szCs w:val="52"/>
        </w:rPr>
        <w:t>件</w:t>
      </w:r>
    </w:p>
    <w:p>
      <w:pPr>
        <w:spacing w:after="120" w:afterLines="50"/>
        <w:rPr>
          <w:rFonts w:asciiTheme="minorEastAsia" w:hAnsiTheme="minorEastAsia" w:eastAsiaTheme="minorEastAsia"/>
          <w:b/>
          <w:sz w:val="72"/>
        </w:rPr>
      </w:pPr>
    </w:p>
    <w:p>
      <w:pPr>
        <w:spacing w:after="120" w:afterLines="50"/>
        <w:rPr>
          <w:rFonts w:asciiTheme="minorEastAsia" w:hAnsiTheme="minorEastAsia" w:eastAsiaTheme="minorEastAsia"/>
          <w:b/>
          <w:sz w:val="72"/>
        </w:rPr>
      </w:pPr>
    </w:p>
    <w:p>
      <w:pPr>
        <w:spacing w:after="120" w:afterLines="50" w:line="500" w:lineRule="exact"/>
        <w:ind w:firstLine="1985" w:firstLineChars="618"/>
        <w:rPr>
          <w:rFonts w:asciiTheme="minorEastAsia" w:hAnsiTheme="minorEastAsia" w:eastAsiaTheme="minorEastAsia"/>
          <w:b/>
          <w:sz w:val="32"/>
        </w:rPr>
      </w:pPr>
      <w:r>
        <w:rPr>
          <w:rFonts w:hint="eastAsia" w:asciiTheme="minorEastAsia" w:hAnsiTheme="minorEastAsia" w:eastAsiaTheme="minorEastAsia"/>
          <w:b/>
          <w:sz w:val="32"/>
        </w:rPr>
        <w:t>招标人：重庆财经学院</w:t>
      </w:r>
    </w:p>
    <w:p>
      <w:pPr>
        <w:spacing w:after="120" w:afterLines="50" w:line="500" w:lineRule="exact"/>
        <w:ind w:firstLine="1985" w:firstLineChars="618"/>
        <w:rPr>
          <w:rFonts w:asciiTheme="minorEastAsia" w:hAnsiTheme="minorEastAsia" w:eastAsiaTheme="minorEastAsia"/>
          <w:b/>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41" w:bottom="1440" w:left="1800" w:header="851" w:footer="992" w:gutter="0"/>
          <w:cols w:space="425" w:num="1"/>
          <w:titlePg/>
          <w:docGrid w:linePitch="312" w:charSpace="0"/>
        </w:sectPr>
      </w:pPr>
      <w:r>
        <w:rPr>
          <w:rFonts w:hint="eastAsia" w:asciiTheme="minorEastAsia" w:hAnsiTheme="minorEastAsia" w:eastAsiaTheme="minorEastAsia"/>
          <w:b/>
          <w:sz w:val="32"/>
        </w:rPr>
        <w:t>招标日期：2022年5月23日</w:t>
      </w:r>
    </w:p>
    <w:sdt>
      <w:sdtPr>
        <w:rPr>
          <w:rFonts w:hint="eastAsia" w:ascii="宋体" w:hAnsi="宋体" w:eastAsia="宋体" w:cs="宋体"/>
          <w:color w:val="auto"/>
          <w:kern w:val="2"/>
          <w:sz w:val="36"/>
          <w:szCs w:val="36"/>
          <w:lang w:val="zh-CN"/>
        </w:rPr>
        <w:id w:val="99690147"/>
      </w:sdtPr>
      <w:sdtEndPr>
        <w:rPr>
          <w:rFonts w:hint="eastAsia" w:ascii="方正黑体_GBK" w:hAnsi="方正黑体_GBK" w:eastAsia="方正黑体_GBK" w:cs="方正黑体_GBK"/>
          <w:bCs w:val="0"/>
          <w:color w:val="auto"/>
          <w:kern w:val="2"/>
          <w:sz w:val="24"/>
          <w:szCs w:val="24"/>
          <w:lang w:val="zh-CN"/>
        </w:rPr>
      </w:sdtEndPr>
      <w:sdtContent>
        <w:p>
          <w:pPr>
            <w:pStyle w:val="194"/>
            <w:jc w:val="center"/>
            <w:rPr>
              <w:rFonts w:ascii="宋体" w:hAnsi="宋体" w:eastAsia="宋体" w:cs="宋体"/>
              <w:color w:val="auto"/>
              <w:sz w:val="36"/>
              <w:szCs w:val="36"/>
              <w:lang w:val="zh-CN"/>
            </w:rPr>
          </w:pPr>
          <w:bookmarkStart w:id="0" w:name="_Toc425408074"/>
          <w:bookmarkStart w:id="1" w:name="_Toc454373082"/>
          <w:bookmarkStart w:id="2" w:name="_Toc324411350"/>
          <w:bookmarkStart w:id="3" w:name="_Toc324175892"/>
          <w:r>
            <w:rPr>
              <w:rFonts w:hint="eastAsia" w:ascii="宋体" w:hAnsi="宋体" w:eastAsia="宋体" w:cs="宋体"/>
              <w:color w:val="auto"/>
              <w:sz w:val="36"/>
              <w:szCs w:val="36"/>
              <w:lang w:val="zh-CN"/>
            </w:rPr>
            <w:t>目录</w:t>
          </w:r>
        </w:p>
        <w:p>
          <w:pPr>
            <w:rPr>
              <w:lang w:val="zh-CN"/>
            </w:rPr>
          </w:pPr>
        </w:p>
        <w:p/>
        <w:p>
          <w:pPr>
            <w:pStyle w:val="29"/>
            <w:tabs>
              <w:tab w:val="right" w:leader="dot" w:pos="8255"/>
            </w:tabs>
            <w:rPr>
              <w:rStyle w:val="48"/>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TOC \o "1-3" \h \z \u </w:instrText>
          </w:r>
          <w:r>
            <w:rPr>
              <w:rFonts w:hint="eastAsia" w:ascii="方正黑体_GBK" w:hAnsi="方正黑体_GBK" w:eastAsia="方正黑体_GBK" w:cs="方正黑体_GBK"/>
              <w:sz w:val="24"/>
              <w:szCs w:val="24"/>
            </w:rPr>
            <w:fldChar w:fldCharType="separate"/>
          </w:r>
          <w:r>
            <w:fldChar w:fldCharType="begin"/>
          </w:r>
          <w:r>
            <w:instrText xml:space="preserve"> HYPERLINK \l "_Toc531594733" </w:instrText>
          </w:r>
          <w:r>
            <w:fldChar w:fldCharType="separate"/>
          </w:r>
          <w:r>
            <w:rPr>
              <w:rStyle w:val="48"/>
              <w:rFonts w:hint="eastAsia" w:ascii="方正黑体_GBK" w:hAnsi="方正黑体_GBK" w:eastAsia="方正黑体_GBK" w:cs="方正黑体_GBK"/>
              <w:sz w:val="24"/>
              <w:szCs w:val="24"/>
            </w:rPr>
            <w:t>第一章 招标公告</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_Toc531594733 \h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3</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rPr>
              <w:rFonts w:ascii="方正黑体_GBK" w:hAnsi="方正黑体_GBK" w:eastAsia="方正黑体_GBK" w:cs="方正黑体_GBK"/>
              <w:szCs w:val="24"/>
            </w:rPr>
          </w:pPr>
        </w:p>
        <w:p>
          <w:pPr>
            <w:rPr>
              <w:rFonts w:ascii="方正黑体_GBK" w:hAnsi="方正黑体_GBK" w:eastAsia="方正黑体_GBK" w:cs="方正黑体_GBK"/>
              <w:szCs w:val="24"/>
            </w:rPr>
          </w:pPr>
        </w:p>
        <w:p>
          <w:pPr>
            <w:rPr>
              <w:rFonts w:ascii="方正黑体_GBK" w:hAnsi="方正黑体_GBK" w:eastAsia="方正黑体_GBK" w:cs="方正黑体_GBK"/>
              <w:szCs w:val="24"/>
            </w:rPr>
          </w:pPr>
        </w:p>
        <w:p>
          <w:pPr>
            <w:rPr>
              <w:rFonts w:ascii="方正黑体_GBK" w:hAnsi="方正黑体_GBK" w:eastAsia="方正黑体_GBK" w:cs="方正黑体_GBK"/>
              <w:szCs w:val="24"/>
            </w:rPr>
          </w:pPr>
        </w:p>
        <w:p>
          <w:pPr>
            <w:pStyle w:val="29"/>
            <w:tabs>
              <w:tab w:val="right" w:leader="dot" w:pos="8255"/>
            </w:tabs>
            <w:rPr>
              <w:rStyle w:val="48"/>
              <w:rFonts w:ascii="方正黑体_GBK" w:hAnsi="方正黑体_GBK" w:eastAsia="方正黑体_GBK" w:cs="方正黑体_GBK"/>
              <w:sz w:val="24"/>
              <w:szCs w:val="24"/>
            </w:rPr>
          </w:pPr>
          <w:r>
            <w:fldChar w:fldCharType="begin"/>
          </w:r>
          <w:r>
            <w:instrText xml:space="preserve"> HYPERLINK \l "_Toc531594734" </w:instrText>
          </w:r>
          <w:r>
            <w:fldChar w:fldCharType="separate"/>
          </w:r>
          <w:r>
            <w:rPr>
              <w:rStyle w:val="48"/>
              <w:rFonts w:hint="eastAsia" w:ascii="方正黑体_GBK" w:hAnsi="方正黑体_GBK" w:eastAsia="方正黑体_GBK" w:cs="方正黑体_GBK"/>
              <w:sz w:val="24"/>
              <w:szCs w:val="24"/>
            </w:rPr>
            <w:t>第二章 投标人需知</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t>5</w:t>
          </w:r>
          <w:r>
            <w:rPr>
              <w:rFonts w:hint="eastAsia" w:ascii="方正黑体_GBK" w:hAnsi="方正黑体_GBK" w:eastAsia="方正黑体_GBK" w:cs="方正黑体_GBK"/>
              <w:sz w:val="24"/>
              <w:szCs w:val="24"/>
            </w:rPr>
            <w:fldChar w:fldCharType="end"/>
          </w:r>
        </w:p>
        <w:p>
          <w:pPr>
            <w:rPr>
              <w:rFonts w:ascii="方正黑体_GBK" w:hAnsi="方正黑体_GBK" w:eastAsia="方正黑体_GBK" w:cs="方正黑体_GBK"/>
              <w:szCs w:val="24"/>
            </w:rPr>
          </w:pPr>
        </w:p>
        <w:p>
          <w:pPr>
            <w:rPr>
              <w:rFonts w:ascii="方正黑体_GBK" w:hAnsi="方正黑体_GBK" w:eastAsia="方正黑体_GBK" w:cs="方正黑体_GBK"/>
              <w:szCs w:val="24"/>
            </w:rPr>
          </w:pPr>
        </w:p>
        <w:p>
          <w:pPr>
            <w:rPr>
              <w:rFonts w:ascii="方正黑体_GBK" w:hAnsi="方正黑体_GBK" w:eastAsia="方正黑体_GBK" w:cs="方正黑体_GBK"/>
              <w:szCs w:val="24"/>
            </w:rPr>
          </w:pPr>
        </w:p>
        <w:p>
          <w:pPr>
            <w:rPr>
              <w:rFonts w:ascii="方正黑体_GBK" w:hAnsi="方正黑体_GBK" w:eastAsia="方正黑体_GBK" w:cs="方正黑体_GBK"/>
              <w:szCs w:val="24"/>
            </w:rPr>
          </w:pPr>
        </w:p>
        <w:p>
          <w:pPr>
            <w:pStyle w:val="29"/>
            <w:tabs>
              <w:tab w:val="right" w:leader="dot" w:pos="8255"/>
            </w:tabs>
            <w:rPr>
              <w:rStyle w:val="48"/>
              <w:rFonts w:ascii="方正黑体_GBK" w:hAnsi="方正黑体_GBK" w:eastAsia="方正黑体_GBK" w:cs="方正黑体_GBK"/>
              <w:sz w:val="24"/>
              <w:szCs w:val="24"/>
            </w:rPr>
          </w:pPr>
          <w:r>
            <w:fldChar w:fldCharType="begin"/>
          </w:r>
          <w:r>
            <w:instrText xml:space="preserve"> HYPERLINK \l "_Toc531594780" </w:instrText>
          </w:r>
          <w:r>
            <w:fldChar w:fldCharType="separate"/>
          </w:r>
          <w:r>
            <w:rPr>
              <w:rStyle w:val="48"/>
              <w:rFonts w:hint="eastAsia" w:ascii="方正黑体_GBK" w:hAnsi="方正黑体_GBK" w:eastAsia="方正黑体_GBK" w:cs="方正黑体_GBK"/>
              <w:sz w:val="24"/>
              <w:szCs w:val="24"/>
            </w:rPr>
            <w:t>第三章 招标数量及参数要求</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19</w:t>
          </w:r>
        </w:p>
        <w:p>
          <w:pPr>
            <w:rPr>
              <w:rFonts w:ascii="方正黑体_GBK" w:hAnsi="方正黑体_GBK" w:eastAsia="方正黑体_GBK" w:cs="方正黑体_GBK"/>
              <w:szCs w:val="24"/>
            </w:rPr>
          </w:pPr>
        </w:p>
        <w:p>
          <w:pPr>
            <w:rPr>
              <w:rFonts w:ascii="方正黑体_GBK" w:hAnsi="方正黑体_GBK" w:eastAsia="方正黑体_GBK" w:cs="方正黑体_GBK"/>
              <w:szCs w:val="24"/>
            </w:rPr>
          </w:pPr>
        </w:p>
        <w:p>
          <w:pPr>
            <w:rPr>
              <w:rFonts w:ascii="方正黑体_GBK" w:hAnsi="方正黑体_GBK" w:eastAsia="方正黑体_GBK" w:cs="方正黑体_GBK"/>
              <w:szCs w:val="24"/>
            </w:rPr>
          </w:pPr>
        </w:p>
        <w:p>
          <w:pPr>
            <w:rPr>
              <w:rFonts w:ascii="方正黑体_GBK" w:hAnsi="方正黑体_GBK" w:eastAsia="方正黑体_GBK" w:cs="方正黑体_GBK"/>
              <w:szCs w:val="24"/>
            </w:rPr>
          </w:pPr>
        </w:p>
        <w:p>
          <w:pPr>
            <w:pStyle w:val="29"/>
            <w:tabs>
              <w:tab w:val="right" w:leader="dot" w:pos="8255"/>
            </w:tabs>
            <w:rPr>
              <w:rStyle w:val="48"/>
              <w:rFonts w:ascii="方正黑体_GBK" w:hAnsi="方正黑体_GBK" w:eastAsia="方正黑体_GBK" w:cs="方正黑体_GBK"/>
              <w:sz w:val="24"/>
              <w:szCs w:val="24"/>
            </w:rPr>
          </w:pPr>
          <w:r>
            <w:fldChar w:fldCharType="begin"/>
          </w:r>
          <w:r>
            <w:instrText xml:space="preserve"> HYPERLINK \l "_Toc531594798" </w:instrText>
          </w:r>
          <w:r>
            <w:fldChar w:fldCharType="separate"/>
          </w:r>
          <w:r>
            <w:rPr>
              <w:rStyle w:val="48"/>
              <w:rFonts w:hint="eastAsia" w:ascii="方正黑体_GBK" w:hAnsi="方正黑体_GBK" w:eastAsia="方正黑体_GBK" w:cs="方正黑体_GBK"/>
              <w:sz w:val="24"/>
              <w:szCs w:val="24"/>
            </w:rPr>
            <w:t>第四章 评标原则</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31</w:t>
          </w:r>
        </w:p>
        <w:p>
          <w:pPr>
            <w:rPr>
              <w:rFonts w:ascii="方正黑体_GBK" w:hAnsi="方正黑体_GBK" w:eastAsia="方正黑体_GBK" w:cs="方正黑体_GBK"/>
              <w:szCs w:val="24"/>
            </w:rPr>
          </w:pPr>
        </w:p>
        <w:p>
          <w:pPr>
            <w:rPr>
              <w:rFonts w:ascii="方正黑体_GBK" w:hAnsi="方正黑体_GBK" w:eastAsia="方正黑体_GBK" w:cs="方正黑体_GBK"/>
              <w:szCs w:val="24"/>
            </w:rPr>
          </w:pPr>
        </w:p>
        <w:p>
          <w:pPr>
            <w:rPr>
              <w:rFonts w:ascii="方正黑体_GBK" w:hAnsi="方正黑体_GBK" w:eastAsia="方正黑体_GBK" w:cs="方正黑体_GBK"/>
              <w:szCs w:val="24"/>
            </w:rPr>
          </w:pPr>
        </w:p>
        <w:p>
          <w:pPr>
            <w:rPr>
              <w:rFonts w:ascii="方正黑体_GBK" w:hAnsi="方正黑体_GBK" w:eastAsia="方正黑体_GBK" w:cs="方正黑体_GBK"/>
              <w:szCs w:val="24"/>
            </w:rPr>
          </w:pPr>
        </w:p>
        <w:p>
          <w:pPr>
            <w:pStyle w:val="29"/>
            <w:tabs>
              <w:tab w:val="right" w:leader="dot" w:pos="8255"/>
            </w:tabs>
            <w:rPr>
              <w:rFonts w:ascii="方正黑体_GBK" w:hAnsi="方正黑体_GBK" w:eastAsia="方正黑体_GBK" w:cs="方正黑体_GBK"/>
              <w:b w:val="0"/>
              <w:caps w:val="0"/>
              <w:sz w:val="24"/>
              <w:szCs w:val="24"/>
            </w:rPr>
          </w:pPr>
          <w:r>
            <w:fldChar w:fldCharType="begin"/>
          </w:r>
          <w:r>
            <w:instrText xml:space="preserve"> HYPERLINK \l "_Toc531594799" </w:instrText>
          </w:r>
          <w:r>
            <w:fldChar w:fldCharType="separate"/>
          </w:r>
          <w:r>
            <w:rPr>
              <w:rStyle w:val="48"/>
              <w:rFonts w:hint="eastAsia" w:ascii="方正黑体_GBK" w:hAnsi="方正黑体_GBK" w:eastAsia="方正黑体_GBK" w:cs="方正黑体_GBK"/>
              <w:sz w:val="24"/>
              <w:szCs w:val="24"/>
            </w:rPr>
            <w:t>第五章 投标文件格式</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t>3</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3</w:t>
          </w:r>
        </w:p>
        <w:p>
          <w:pPr>
            <w:rPr>
              <w:rFonts w:ascii="方正黑体_GBK" w:hAnsi="方正黑体_GBK" w:eastAsia="方正黑体_GBK" w:cs="方正黑体_GBK"/>
              <w:b/>
              <w:szCs w:val="24"/>
            </w:rPr>
          </w:pPr>
          <w:r>
            <w:rPr>
              <w:rFonts w:hint="eastAsia" w:ascii="方正黑体_GBK" w:hAnsi="方正黑体_GBK" w:eastAsia="方正黑体_GBK" w:cs="方正黑体_GBK"/>
              <w:szCs w:val="24"/>
              <w:lang w:val="zh-CN"/>
            </w:rPr>
            <w:fldChar w:fldCharType="end"/>
          </w:r>
        </w:p>
      </w:sdtContent>
    </w:sdt>
    <w:p>
      <w:pPr>
        <w:rPr>
          <w:rFonts w:ascii="方正黑体_GBK" w:hAnsi="方正黑体_GBK" w:eastAsia="方正黑体_GBK" w:cs="方正黑体_GBK"/>
          <w:b/>
          <w:szCs w:val="24"/>
        </w:rPr>
      </w:pPr>
    </w:p>
    <w:p>
      <w:pPr>
        <w:rPr>
          <w:b/>
        </w:rPr>
      </w:pPr>
      <w:bookmarkStart w:id="4" w:name="_Toc481694467"/>
      <w:bookmarkStart w:id="5" w:name="_Toc484637072"/>
    </w:p>
    <w:p>
      <w:pPr>
        <w:rPr>
          <w:b/>
        </w:rPr>
      </w:pPr>
    </w:p>
    <w:p>
      <w:pPr>
        <w:pStyle w:val="2"/>
        <w:numPr>
          <w:ilvl w:val="0"/>
          <w:numId w:val="0"/>
        </w:numPr>
        <w:jc w:val="center"/>
        <w:rPr>
          <w:rFonts w:asciiTheme="minorEastAsia" w:hAnsiTheme="minorEastAsia" w:eastAsiaTheme="minorEastAsia"/>
        </w:rPr>
      </w:pPr>
      <w:bookmarkStart w:id="6" w:name="_Toc531594733"/>
    </w:p>
    <w:p>
      <w:pPr>
        <w:pStyle w:val="2"/>
        <w:numPr>
          <w:ilvl w:val="0"/>
          <w:numId w:val="0"/>
        </w:numPr>
        <w:rPr>
          <w:rFonts w:asciiTheme="minorEastAsia" w:hAnsiTheme="minorEastAsia" w:eastAsiaTheme="minorEastAsia"/>
        </w:rPr>
      </w:pPr>
    </w:p>
    <w:p/>
    <w:p>
      <w:pPr>
        <w:pStyle w:val="2"/>
        <w:numPr>
          <w:ilvl w:val="0"/>
          <w:numId w:val="0"/>
        </w:numPr>
        <w:spacing w:before="0" w:after="0" w:line="240" w:lineRule="auto"/>
        <w:jc w:val="center"/>
        <w:rPr>
          <w:rFonts w:ascii="方正黑体_GBK" w:hAnsi="方正黑体_GBK" w:eastAsia="方正黑体_GBK" w:cs="方正黑体_GBK"/>
          <w:sz w:val="28"/>
          <w:szCs w:val="28"/>
        </w:rPr>
      </w:pPr>
    </w:p>
    <w:bookmarkEnd w:id="0"/>
    <w:bookmarkEnd w:id="1"/>
    <w:p>
      <w:pPr>
        <w:pStyle w:val="2"/>
        <w:numPr>
          <w:ilvl w:val="0"/>
          <w:numId w:val="10"/>
        </w:numPr>
        <w:spacing w:before="0" w:after="0" w:line="520" w:lineRule="exact"/>
        <w:jc w:val="center"/>
        <w:rPr>
          <w:rFonts w:ascii="仿宋" w:hAnsi="仿宋" w:eastAsia="仿宋" w:cs="仿宋"/>
        </w:rPr>
      </w:pPr>
      <w:r>
        <w:rPr>
          <w:rFonts w:hint="eastAsia" w:ascii="仿宋" w:hAnsi="仿宋" w:eastAsia="仿宋" w:cs="仿宋"/>
        </w:rPr>
        <w:t>招标公告</w:t>
      </w:r>
      <w:bookmarkEnd w:id="4"/>
      <w:bookmarkEnd w:id="5"/>
      <w:bookmarkEnd w:id="6"/>
    </w:p>
    <w:p>
      <w:pPr>
        <w:spacing w:line="520" w:lineRule="exact"/>
      </w:pPr>
    </w:p>
    <w:p>
      <w:pPr>
        <w:spacing w:line="520" w:lineRule="exact"/>
        <w:ind w:firstLine="560" w:firstLineChars="200"/>
        <w:jc w:val="left"/>
        <w:rPr>
          <w:rFonts w:ascii="仿宋" w:hAnsi="仿宋" w:eastAsia="仿宋" w:cs="仿宋"/>
          <w:sz w:val="28"/>
          <w:szCs w:val="28"/>
          <w:u w:val="single"/>
        </w:rPr>
      </w:pPr>
      <w:r>
        <w:rPr>
          <w:rFonts w:hint="eastAsia" w:ascii="仿宋" w:hAnsi="仿宋" w:eastAsia="仿宋" w:cs="仿宋"/>
          <w:sz w:val="28"/>
          <w:szCs w:val="28"/>
          <w:u w:val="single"/>
        </w:rPr>
        <w:t>重庆财经学院</w:t>
      </w:r>
      <w:r>
        <w:rPr>
          <w:rFonts w:hint="eastAsia" w:ascii="仿宋" w:hAnsi="仿宋" w:eastAsia="仿宋" w:cs="仿宋"/>
          <w:sz w:val="28"/>
          <w:szCs w:val="28"/>
        </w:rPr>
        <w:t>（采</w:t>
      </w:r>
      <w:r>
        <w:rPr>
          <w:rFonts w:hint="eastAsia" w:ascii="仿宋" w:hAnsi="仿宋" w:eastAsia="仿宋" w:cs="仿宋"/>
          <w:bCs/>
          <w:sz w:val="28"/>
          <w:szCs w:val="28"/>
        </w:rPr>
        <w:t>购人）</w:t>
      </w:r>
      <w:r>
        <w:rPr>
          <w:rFonts w:hint="eastAsia" w:ascii="仿宋" w:hAnsi="仿宋" w:eastAsia="仿宋" w:cs="仿宋"/>
          <w:sz w:val="28"/>
          <w:szCs w:val="28"/>
        </w:rPr>
        <w:t>拟对“</w:t>
      </w:r>
      <w:r>
        <w:rPr>
          <w:rFonts w:hint="eastAsia" w:ascii="仿宋" w:hAnsi="仿宋" w:eastAsia="仿宋" w:cs="仿宋"/>
          <w:sz w:val="28"/>
          <w:szCs w:val="28"/>
          <w:u w:val="single"/>
        </w:rPr>
        <w:t>重庆财经学院中新金融科技现代产业学院实验实训中心区块链金融平台及智能机器人平台采购项目</w:t>
      </w:r>
      <w:r>
        <w:rPr>
          <w:rFonts w:hint="eastAsia" w:ascii="仿宋" w:hAnsi="仿宋" w:eastAsia="仿宋" w:cs="仿宋"/>
          <w:sz w:val="28"/>
          <w:szCs w:val="28"/>
        </w:rPr>
        <w:t>”进行国内公开招标，</w:t>
      </w:r>
      <w:r>
        <w:rPr>
          <w:rFonts w:hint="eastAsia" w:ascii="仿宋" w:hAnsi="仿宋" w:eastAsia="仿宋" w:cs="仿宋"/>
          <w:sz w:val="30"/>
          <w:szCs w:val="30"/>
          <w:lang w:eastAsia="zh-CN"/>
        </w:rPr>
        <w:t>本项目采购总金额为人民币</w:t>
      </w:r>
      <w:r>
        <w:rPr>
          <w:rFonts w:hint="eastAsia" w:ascii="仿宋" w:hAnsi="仿宋" w:eastAsia="仿宋" w:cs="仿宋"/>
          <w:sz w:val="30"/>
          <w:szCs w:val="30"/>
          <w:lang w:val="en-US" w:eastAsia="zh-CN"/>
        </w:rPr>
        <w:t>85万元，</w:t>
      </w:r>
      <w:bookmarkStart w:id="295" w:name="_GoBack"/>
      <w:bookmarkEnd w:id="295"/>
      <w:r>
        <w:rPr>
          <w:rFonts w:hint="eastAsia" w:ascii="仿宋" w:hAnsi="仿宋" w:eastAsia="仿宋" w:cs="仿宋"/>
          <w:sz w:val="28"/>
          <w:szCs w:val="28"/>
        </w:rPr>
        <w:t>兹邀请符合本次招标要求的供应商参加投标。</w:t>
      </w:r>
    </w:p>
    <w:p>
      <w:pPr>
        <w:spacing w:line="520" w:lineRule="exact"/>
        <w:ind w:firstLine="562" w:firstLineChars="200"/>
        <w:rPr>
          <w:rFonts w:ascii="仿宋" w:hAnsi="仿宋" w:eastAsia="仿宋" w:cs="仿宋"/>
          <w:sz w:val="28"/>
          <w:szCs w:val="28"/>
          <w:u w:val="single"/>
        </w:rPr>
      </w:pPr>
      <w:r>
        <w:rPr>
          <w:rFonts w:hint="eastAsia" w:ascii="方正黑体_GBK" w:hAnsi="方正黑体_GBK" w:eastAsia="方正黑体_GBK" w:cs="方正黑体_GBK"/>
          <w:b/>
          <w:bCs/>
          <w:sz w:val="28"/>
          <w:szCs w:val="28"/>
        </w:rPr>
        <w:t>一、</w:t>
      </w:r>
      <w:r>
        <w:rPr>
          <w:rFonts w:hint="eastAsia" w:ascii="方正黑体_GBK" w:hAnsi="方正黑体_GBK" w:eastAsia="方正黑体_GBK" w:cs="方正黑体_GBK"/>
          <w:b/>
          <w:sz w:val="28"/>
          <w:szCs w:val="28"/>
        </w:rPr>
        <w:t>招标项目</w:t>
      </w:r>
      <w:r>
        <w:rPr>
          <w:rFonts w:hint="eastAsia" w:ascii="仿宋" w:hAnsi="仿宋" w:eastAsia="仿宋" w:cs="仿宋"/>
          <w:b/>
          <w:sz w:val="28"/>
          <w:szCs w:val="28"/>
        </w:rPr>
        <w:t>：</w:t>
      </w:r>
      <w:r>
        <w:rPr>
          <w:rFonts w:hint="eastAsia" w:ascii="仿宋" w:hAnsi="仿宋" w:eastAsia="仿宋" w:cs="仿宋"/>
          <w:sz w:val="28"/>
          <w:szCs w:val="28"/>
          <w:u w:val="single"/>
        </w:rPr>
        <w:t>重庆财经学院中新金融科技现代产业学院实验实训中心区块链金融平台及智能机器人平台采购项目</w:t>
      </w:r>
    </w:p>
    <w:p>
      <w:pPr>
        <w:spacing w:line="520" w:lineRule="exact"/>
        <w:ind w:firstLine="562" w:firstLineChars="200"/>
        <w:rPr>
          <w:rFonts w:ascii="方正黑体_GBK" w:hAnsi="方正黑体_GBK" w:eastAsia="方正黑体_GBK" w:cs="方正黑体_GBK"/>
          <w:sz w:val="28"/>
          <w:szCs w:val="28"/>
        </w:rPr>
      </w:pPr>
      <w:r>
        <w:rPr>
          <w:rFonts w:hint="eastAsia" w:ascii="方正黑体_GBK" w:hAnsi="方正黑体_GBK" w:eastAsia="方正黑体_GBK" w:cs="方正黑体_GBK"/>
          <w:b/>
          <w:sz w:val="28"/>
          <w:szCs w:val="28"/>
        </w:rPr>
        <w:t xml:space="preserve">二、招标项目内容：（详见招标文件第三章 </w:t>
      </w:r>
      <w:r>
        <w:rPr>
          <w:rFonts w:hint="eastAsia" w:ascii="方正黑体_GBK" w:hAnsi="方正黑体_GBK" w:eastAsia="方正黑体_GBK" w:cs="方正黑体_GBK"/>
          <w:b/>
          <w:sz w:val="28"/>
          <w:szCs w:val="28"/>
          <w:lang w:eastAsia="zh-CN"/>
        </w:rPr>
        <w:t>招标数量及参数要求</w:t>
      </w:r>
      <w:r>
        <w:rPr>
          <w:rFonts w:hint="eastAsia" w:ascii="方正黑体_GBK" w:hAnsi="方正黑体_GBK" w:eastAsia="方正黑体_GBK" w:cs="方正黑体_GBK"/>
          <w:b/>
          <w:sz w:val="28"/>
          <w:szCs w:val="28"/>
        </w:rPr>
        <w:t>）</w:t>
      </w:r>
      <w:r>
        <w:rPr>
          <w:rFonts w:hint="eastAsia" w:ascii="方正黑体_GBK" w:hAnsi="方正黑体_GBK" w:eastAsia="方正黑体_GBK" w:cs="方正黑体_GBK"/>
          <w:sz w:val="28"/>
          <w:szCs w:val="28"/>
        </w:rPr>
        <w:t>。</w:t>
      </w:r>
    </w:p>
    <w:p>
      <w:pPr>
        <w:spacing w:line="520" w:lineRule="exact"/>
        <w:ind w:firstLine="562" w:firstLineChars="200"/>
        <w:rPr>
          <w:rFonts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三、供应商参加本次采购活动应具备下列条件：</w:t>
      </w:r>
    </w:p>
    <w:p>
      <w:pPr>
        <w:spacing w:line="520" w:lineRule="exact"/>
        <w:ind w:firstLine="660" w:firstLineChars="236"/>
        <w:rPr>
          <w:rFonts w:ascii="仿宋" w:hAnsi="仿宋" w:eastAsia="仿宋" w:cs="仿宋"/>
          <w:sz w:val="28"/>
          <w:szCs w:val="28"/>
        </w:rPr>
      </w:pPr>
      <w:r>
        <w:rPr>
          <w:rFonts w:hint="eastAsia" w:ascii="仿宋" w:hAnsi="仿宋" w:eastAsia="仿宋" w:cs="仿宋"/>
          <w:sz w:val="28"/>
          <w:szCs w:val="28"/>
        </w:rPr>
        <w:t>1．投标人具有独立承担民事责任的能力；</w:t>
      </w:r>
    </w:p>
    <w:p>
      <w:pPr>
        <w:spacing w:line="520" w:lineRule="exact"/>
        <w:ind w:firstLine="660" w:firstLineChars="236"/>
        <w:rPr>
          <w:rFonts w:ascii="仿宋" w:hAnsi="仿宋" w:eastAsia="仿宋" w:cs="仿宋"/>
          <w:sz w:val="28"/>
          <w:szCs w:val="28"/>
        </w:rPr>
      </w:pPr>
      <w:r>
        <w:rPr>
          <w:rFonts w:hint="eastAsia" w:ascii="仿宋" w:hAnsi="仿宋" w:eastAsia="仿宋" w:cs="仿宋"/>
          <w:sz w:val="28"/>
          <w:szCs w:val="28"/>
        </w:rPr>
        <w:t>2．投标人具有良好的商业信誉和健全的财务会计制度，需提供近三年的财务报表；</w:t>
      </w:r>
    </w:p>
    <w:p>
      <w:pPr>
        <w:spacing w:line="520" w:lineRule="exact"/>
        <w:ind w:firstLine="660" w:firstLineChars="236"/>
        <w:rPr>
          <w:rFonts w:ascii="仿宋" w:hAnsi="仿宋" w:eastAsia="仿宋" w:cs="仿宋"/>
          <w:sz w:val="28"/>
          <w:szCs w:val="28"/>
        </w:rPr>
      </w:pPr>
      <w:r>
        <w:rPr>
          <w:rFonts w:hint="eastAsia" w:ascii="仿宋" w:hAnsi="仿宋" w:eastAsia="仿宋" w:cs="仿宋"/>
          <w:sz w:val="28"/>
          <w:szCs w:val="28"/>
        </w:rPr>
        <w:t>3．投标人具有依法缴纳税收和社会保障资金的良好纪录；</w:t>
      </w:r>
    </w:p>
    <w:p>
      <w:pPr>
        <w:spacing w:line="520" w:lineRule="exact"/>
        <w:ind w:firstLine="660" w:firstLineChars="236"/>
        <w:rPr>
          <w:rFonts w:ascii="仿宋" w:hAnsi="仿宋" w:eastAsia="仿宋" w:cs="仿宋"/>
          <w:sz w:val="28"/>
          <w:szCs w:val="28"/>
        </w:rPr>
      </w:pPr>
      <w:r>
        <w:rPr>
          <w:rFonts w:hint="eastAsia" w:ascii="仿宋" w:hAnsi="仿宋" w:eastAsia="仿宋" w:cs="仿宋"/>
          <w:sz w:val="28"/>
          <w:szCs w:val="28"/>
        </w:rPr>
        <w:t>4．投标人具有履行合同所必需的专业技术能力；</w:t>
      </w:r>
    </w:p>
    <w:p>
      <w:pPr>
        <w:spacing w:line="520" w:lineRule="exact"/>
        <w:ind w:firstLine="660" w:firstLineChars="236"/>
        <w:rPr>
          <w:rFonts w:ascii="仿宋" w:hAnsi="仿宋" w:eastAsia="仿宋" w:cs="仿宋"/>
          <w:sz w:val="28"/>
          <w:szCs w:val="28"/>
        </w:rPr>
      </w:pPr>
      <w:r>
        <w:rPr>
          <w:rFonts w:hint="eastAsia" w:ascii="仿宋" w:hAnsi="仿宋" w:eastAsia="仿宋" w:cs="仿宋"/>
          <w:sz w:val="28"/>
          <w:szCs w:val="28"/>
        </w:rPr>
        <w:t>5．投标人参加政府采购活动前三年内，没有骗取中标行为，无不正当理由放弃中标（成交）行为，未进行过恶意投诉，在经营活动中没有违法、违规记录；</w:t>
      </w:r>
    </w:p>
    <w:p>
      <w:pPr>
        <w:spacing w:line="520" w:lineRule="exact"/>
        <w:ind w:firstLine="660" w:firstLineChars="236"/>
        <w:rPr>
          <w:rFonts w:ascii="仿宋" w:hAnsi="仿宋" w:eastAsia="仿宋" w:cs="仿宋"/>
          <w:sz w:val="28"/>
          <w:szCs w:val="28"/>
        </w:rPr>
      </w:pPr>
      <w:r>
        <w:rPr>
          <w:rFonts w:hint="eastAsia" w:ascii="仿宋" w:hAnsi="仿宋" w:eastAsia="仿宋" w:cs="仿宋"/>
          <w:sz w:val="28"/>
          <w:szCs w:val="28"/>
        </w:rPr>
        <w:t xml:space="preserve">6．投标人具有完善的质量保证和售后服务体系； </w:t>
      </w:r>
    </w:p>
    <w:p>
      <w:pPr>
        <w:spacing w:line="520" w:lineRule="exact"/>
        <w:ind w:firstLine="660" w:firstLineChars="236"/>
        <w:rPr>
          <w:rFonts w:ascii="仿宋" w:hAnsi="仿宋" w:eastAsia="仿宋" w:cs="仿宋"/>
          <w:color w:val="000000" w:themeColor="text1"/>
          <w:sz w:val="28"/>
          <w:szCs w:val="28"/>
          <w:highlight w:val="yellow"/>
        </w:rPr>
      </w:pPr>
      <w:r>
        <w:rPr>
          <w:rFonts w:hint="eastAsia" w:ascii="仿宋" w:hAnsi="仿宋" w:eastAsia="仿宋" w:cs="仿宋"/>
          <w:color w:val="000000" w:themeColor="text1"/>
          <w:sz w:val="28"/>
          <w:szCs w:val="28"/>
        </w:rPr>
        <w:t>7.</w:t>
      </w:r>
      <w:r>
        <w:rPr>
          <w:rFonts w:hint="eastAsia" w:ascii="仿宋" w:hAnsi="仿宋" w:eastAsia="仿宋" w:cs="仿宋"/>
          <w:color w:val="000000" w:themeColor="text1"/>
          <w:sz w:val="28"/>
          <w:szCs w:val="28"/>
          <w:highlight w:val="none"/>
        </w:rPr>
        <w:t xml:space="preserve"> 投标方具有</w:t>
      </w:r>
      <w:r>
        <w:rPr>
          <w:rFonts w:ascii="仿宋" w:hAnsi="仿宋" w:eastAsia="仿宋" w:cs="仿宋"/>
          <w:color w:val="000000" w:themeColor="text1"/>
          <w:sz w:val="28"/>
          <w:szCs w:val="28"/>
          <w:highlight w:val="none"/>
        </w:rPr>
        <w:t>4</w:t>
      </w:r>
      <w:r>
        <w:rPr>
          <w:rFonts w:hint="eastAsia" w:ascii="仿宋" w:hAnsi="仿宋" w:eastAsia="仿宋" w:cs="仿宋"/>
          <w:color w:val="000000" w:themeColor="text1"/>
          <w:sz w:val="28"/>
          <w:szCs w:val="28"/>
          <w:highlight w:val="none"/>
        </w:rPr>
        <w:t>年（含）以上的经营时间，需提供原厂2018年1月1日至今类似项目履约能力证明材料。</w:t>
      </w:r>
    </w:p>
    <w:p>
      <w:pPr>
        <w:spacing w:line="520" w:lineRule="exact"/>
        <w:ind w:firstLine="660" w:firstLineChars="236"/>
        <w:rPr>
          <w:rFonts w:ascii="仿宋" w:hAnsi="仿宋" w:eastAsia="仿宋" w:cs="仿宋"/>
          <w:sz w:val="28"/>
          <w:szCs w:val="28"/>
        </w:rPr>
      </w:pPr>
      <w:r>
        <w:rPr>
          <w:rFonts w:hint="eastAsia" w:ascii="仿宋" w:hAnsi="仿宋" w:eastAsia="仿宋" w:cs="仿宋"/>
          <w:sz w:val="28"/>
          <w:szCs w:val="28"/>
        </w:rPr>
        <w:t>8．本项目不接受联合体投标。</w:t>
      </w:r>
    </w:p>
    <w:p>
      <w:pPr>
        <w:spacing w:line="520" w:lineRule="exact"/>
        <w:ind w:firstLine="562" w:firstLineChars="200"/>
        <w:rPr>
          <w:rFonts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四、报名时请提供以下资料：</w:t>
      </w:r>
    </w:p>
    <w:p>
      <w:pPr>
        <w:spacing w:line="520" w:lineRule="exact"/>
        <w:ind w:firstLine="660" w:firstLineChars="236"/>
        <w:rPr>
          <w:rFonts w:ascii="仿宋" w:hAnsi="仿宋" w:eastAsia="仿宋" w:cs="仿宋"/>
          <w:sz w:val="28"/>
          <w:szCs w:val="28"/>
        </w:rPr>
      </w:pPr>
      <w:r>
        <w:rPr>
          <w:rFonts w:hint="eastAsia" w:ascii="仿宋" w:hAnsi="仿宋" w:eastAsia="仿宋" w:cs="仿宋"/>
          <w:sz w:val="28"/>
          <w:szCs w:val="28"/>
        </w:rPr>
        <w:t>1.企业营业执照副本复印件；税务登记证复印件；组织机构代码证复印件；</w:t>
      </w:r>
    </w:p>
    <w:p>
      <w:pPr>
        <w:spacing w:line="520" w:lineRule="exact"/>
        <w:ind w:firstLine="660" w:firstLineChars="236"/>
        <w:rPr>
          <w:rFonts w:ascii="仿宋" w:hAnsi="仿宋" w:eastAsia="仿宋" w:cs="仿宋"/>
          <w:sz w:val="28"/>
          <w:szCs w:val="28"/>
        </w:rPr>
      </w:pPr>
      <w:r>
        <w:rPr>
          <w:rFonts w:hint="eastAsia" w:ascii="仿宋" w:hAnsi="仿宋" w:eastAsia="仿宋" w:cs="仿宋"/>
          <w:sz w:val="28"/>
          <w:szCs w:val="28"/>
        </w:rPr>
        <w:t>2.法定代表人授权书原件；</w:t>
      </w:r>
    </w:p>
    <w:p>
      <w:pPr>
        <w:spacing w:line="520" w:lineRule="exact"/>
        <w:ind w:firstLine="660" w:firstLineChars="236"/>
        <w:rPr>
          <w:rFonts w:ascii="仿宋" w:hAnsi="仿宋" w:eastAsia="仿宋" w:cs="仿宋"/>
          <w:sz w:val="28"/>
          <w:szCs w:val="28"/>
        </w:rPr>
      </w:pPr>
      <w:r>
        <w:rPr>
          <w:rFonts w:hint="eastAsia" w:ascii="仿宋" w:hAnsi="仿宋" w:eastAsia="仿宋" w:cs="仿宋"/>
          <w:sz w:val="28"/>
          <w:szCs w:val="28"/>
        </w:rPr>
        <w:t>3.被授权人有效身份证复印件及原件；</w:t>
      </w:r>
    </w:p>
    <w:p>
      <w:pPr>
        <w:spacing w:line="520" w:lineRule="exact"/>
        <w:ind w:firstLine="562" w:firstLineChars="200"/>
        <w:rPr>
          <w:rFonts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五、招标文件发售时间、地点：</w:t>
      </w:r>
    </w:p>
    <w:p>
      <w:pPr>
        <w:spacing w:line="520" w:lineRule="exact"/>
        <w:ind w:firstLine="562" w:firstLineChars="200"/>
        <w:rPr>
          <w:rFonts w:ascii="仿宋" w:hAnsi="仿宋" w:eastAsia="仿宋" w:cs="仿宋"/>
          <w:sz w:val="28"/>
          <w:szCs w:val="28"/>
        </w:rPr>
      </w:pPr>
      <w:r>
        <w:rPr>
          <w:rFonts w:hint="eastAsia" w:ascii="仿宋" w:hAnsi="仿宋" w:eastAsia="仿宋" w:cs="仿宋"/>
          <w:b/>
          <w:sz w:val="28"/>
          <w:szCs w:val="28"/>
        </w:rPr>
        <w:t>发售招标文件及报名时间</w:t>
      </w:r>
      <w:r>
        <w:rPr>
          <w:rFonts w:hint="eastAsia" w:ascii="仿宋" w:hAnsi="仿宋" w:eastAsia="仿宋" w:cs="仿宋"/>
          <w:sz w:val="28"/>
          <w:szCs w:val="28"/>
        </w:rPr>
        <w:t>：招标公告之日起至 2022年5月26日。</w:t>
      </w:r>
    </w:p>
    <w:p>
      <w:pPr>
        <w:spacing w:line="520" w:lineRule="exact"/>
        <w:ind w:firstLine="562" w:firstLineChars="200"/>
        <w:rPr>
          <w:rFonts w:ascii="仿宋" w:hAnsi="仿宋" w:eastAsia="仿宋" w:cs="仿宋"/>
          <w:sz w:val="28"/>
          <w:szCs w:val="28"/>
        </w:rPr>
      </w:pPr>
      <w:r>
        <w:rPr>
          <w:rFonts w:hint="eastAsia" w:ascii="仿宋" w:hAnsi="仿宋" w:eastAsia="仿宋" w:cs="仿宋"/>
          <w:b/>
          <w:sz w:val="28"/>
          <w:szCs w:val="28"/>
        </w:rPr>
        <w:t>发售招标文件地点</w:t>
      </w:r>
      <w:r>
        <w:rPr>
          <w:rFonts w:hint="eastAsia" w:ascii="仿宋" w:hAnsi="仿宋" w:eastAsia="仿宋" w:cs="仿宋"/>
          <w:sz w:val="28"/>
          <w:szCs w:val="28"/>
        </w:rPr>
        <w:t>：</w:t>
      </w:r>
      <w:r>
        <w:rPr>
          <w:rFonts w:hint="eastAsia" w:ascii="仿宋" w:hAnsi="仿宋" w:eastAsia="仿宋" w:cs="仿宋"/>
          <w:sz w:val="28"/>
          <w:szCs w:val="28"/>
          <w:u w:val="single"/>
        </w:rPr>
        <w:t>重庆财经学院行政楼2318室（重庆市巴南区龙洲湾尚文大道906号）</w:t>
      </w:r>
      <w:r>
        <w:rPr>
          <w:rFonts w:hint="eastAsia" w:ascii="仿宋" w:hAnsi="仿宋" w:eastAsia="仿宋" w:cs="仿宋"/>
          <w:sz w:val="28"/>
          <w:szCs w:val="28"/>
        </w:rPr>
        <w:t>购买。</w:t>
      </w:r>
    </w:p>
    <w:p>
      <w:pPr>
        <w:spacing w:line="520" w:lineRule="exact"/>
        <w:ind w:firstLine="562" w:firstLineChars="200"/>
        <w:rPr>
          <w:rFonts w:ascii="仿宋" w:hAnsi="仿宋" w:eastAsia="仿宋" w:cs="仿宋"/>
          <w:sz w:val="28"/>
          <w:szCs w:val="28"/>
        </w:rPr>
      </w:pPr>
      <w:r>
        <w:rPr>
          <w:rFonts w:hint="eastAsia" w:ascii="仿宋" w:hAnsi="仿宋" w:eastAsia="仿宋" w:cs="仿宋"/>
          <w:b/>
          <w:sz w:val="28"/>
          <w:szCs w:val="28"/>
        </w:rPr>
        <w:t>招标文件售价</w:t>
      </w:r>
      <w:r>
        <w:rPr>
          <w:rFonts w:hint="eastAsia" w:ascii="仿宋" w:hAnsi="仿宋" w:eastAsia="仿宋" w:cs="仿宋"/>
          <w:sz w:val="28"/>
          <w:szCs w:val="28"/>
        </w:rPr>
        <w:t>：</w:t>
      </w:r>
      <w:r>
        <w:rPr>
          <w:rFonts w:hint="eastAsia" w:ascii="仿宋" w:hAnsi="仿宋" w:eastAsia="仿宋" w:cs="仿宋"/>
          <w:sz w:val="28"/>
          <w:szCs w:val="28"/>
          <w:highlight w:val="none"/>
        </w:rPr>
        <w:t>人民币300元/份</w:t>
      </w:r>
      <w:r>
        <w:rPr>
          <w:rFonts w:hint="eastAsia" w:ascii="仿宋" w:hAnsi="仿宋" w:eastAsia="仿宋" w:cs="仿宋"/>
          <w:sz w:val="28"/>
          <w:szCs w:val="28"/>
        </w:rPr>
        <w:t>（招标文件售后不退, 投标资格不能转让）。</w:t>
      </w:r>
    </w:p>
    <w:p>
      <w:pPr>
        <w:spacing w:line="520" w:lineRule="exact"/>
        <w:ind w:firstLine="562" w:firstLineChars="200"/>
        <w:rPr>
          <w:rFonts w:ascii="方正黑体_GBK" w:hAnsi="方正黑体_GBK" w:eastAsia="方正黑体_GBK" w:cs="方正黑体_GBK"/>
          <w:b/>
          <w:bCs/>
          <w:spacing w:val="-4"/>
          <w:sz w:val="28"/>
          <w:szCs w:val="28"/>
        </w:rPr>
      </w:pPr>
      <w:r>
        <w:rPr>
          <w:rFonts w:hint="eastAsia" w:ascii="方正黑体_GBK" w:hAnsi="方正黑体_GBK" w:eastAsia="方正黑体_GBK" w:cs="方正黑体_GBK"/>
          <w:b/>
          <w:sz w:val="28"/>
          <w:szCs w:val="28"/>
        </w:rPr>
        <w:t>六、</w:t>
      </w:r>
      <w:r>
        <w:rPr>
          <w:rFonts w:hint="eastAsia" w:ascii="方正黑体_GBK" w:hAnsi="方正黑体_GBK" w:eastAsia="方正黑体_GBK" w:cs="方正黑体_GBK"/>
          <w:b/>
          <w:spacing w:val="-4"/>
          <w:sz w:val="28"/>
          <w:szCs w:val="28"/>
        </w:rPr>
        <w:t>投标截止时间：</w:t>
      </w:r>
      <w:r>
        <w:rPr>
          <w:rFonts w:hint="eastAsia" w:ascii="方正黑体_GBK" w:hAnsi="方正黑体_GBK" w:eastAsia="方正黑体_GBK" w:cs="方正黑体_GBK"/>
          <w:b/>
          <w:bCs/>
          <w:spacing w:val="-4"/>
          <w:sz w:val="28"/>
          <w:szCs w:val="28"/>
        </w:rPr>
        <w:t>2022年5月31日, 具体送达时间将于2022年5月30日在重庆财经学院校园网（http://www.cfec.edu.cn）通知。</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投标文件必须在投标截止时间前送达开标地点。逾期送达的投标文件恕不接收。本次招标不接受邮寄的投标文件。</w:t>
      </w:r>
    </w:p>
    <w:p>
      <w:pPr>
        <w:spacing w:line="520" w:lineRule="exact"/>
        <w:ind w:firstLine="562" w:firstLineChars="200"/>
        <w:rPr>
          <w:rFonts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七、投标保证金：</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投标人应提供</w:t>
      </w:r>
      <w:r>
        <w:rPr>
          <w:rFonts w:hint="eastAsia" w:asciiTheme="minorEastAsia" w:hAnsiTheme="minorEastAsia" w:eastAsiaTheme="minorEastAsia" w:cstheme="minorEastAsia"/>
          <w:sz w:val="21"/>
          <w:szCs w:val="21"/>
        </w:rPr>
        <w:t>人民币</w:t>
      </w:r>
      <w:r>
        <w:rPr>
          <w:rFonts w:hint="eastAsia" w:ascii="仿宋" w:hAnsi="仿宋" w:eastAsia="仿宋" w:cs="仿宋"/>
          <w:b/>
          <w:sz w:val="28"/>
          <w:szCs w:val="28"/>
          <w:highlight w:val="none"/>
          <w:u w:val="single"/>
          <w:lang w:val="en-US" w:eastAsia="zh-CN"/>
        </w:rPr>
        <w:t>10</w:t>
      </w:r>
      <w:r>
        <w:rPr>
          <w:rFonts w:hint="eastAsia" w:ascii="仿宋" w:hAnsi="仿宋" w:eastAsia="仿宋" w:cs="仿宋"/>
          <w:b/>
          <w:sz w:val="28"/>
          <w:szCs w:val="28"/>
          <w:highlight w:val="none"/>
          <w:u w:val="single"/>
        </w:rPr>
        <w:t>000元整</w:t>
      </w:r>
      <w:r>
        <w:rPr>
          <w:rFonts w:hint="eastAsia" w:ascii="仿宋" w:hAnsi="仿宋" w:eastAsia="仿宋" w:cs="仿宋"/>
          <w:b/>
          <w:sz w:val="28"/>
          <w:szCs w:val="28"/>
          <w:highlight w:val="none"/>
        </w:rPr>
        <w:t>（现金）</w:t>
      </w:r>
      <w:r>
        <w:rPr>
          <w:rFonts w:hint="eastAsia" w:ascii="仿宋" w:hAnsi="仿宋" w:eastAsia="仿宋" w:cs="仿宋"/>
          <w:sz w:val="28"/>
          <w:szCs w:val="28"/>
        </w:rPr>
        <w:t xml:space="preserve">的投标保证金，带至投标现场。 </w:t>
      </w:r>
    </w:p>
    <w:p>
      <w:pPr>
        <w:spacing w:line="520" w:lineRule="exact"/>
        <w:ind w:firstLine="562" w:firstLineChars="200"/>
        <w:rPr>
          <w:rFonts w:ascii="仿宋" w:hAnsi="仿宋" w:eastAsia="仿宋" w:cs="仿宋"/>
          <w:sz w:val="28"/>
          <w:szCs w:val="28"/>
        </w:rPr>
      </w:pPr>
      <w:r>
        <w:rPr>
          <w:rFonts w:hint="eastAsia" w:ascii="方正黑体_GBK" w:hAnsi="方正黑体_GBK" w:eastAsia="方正黑体_GBK" w:cs="方正黑体_GBK"/>
          <w:b/>
          <w:sz w:val="28"/>
          <w:szCs w:val="28"/>
        </w:rPr>
        <w:t>八、中标服务费</w:t>
      </w:r>
      <w:r>
        <w:rPr>
          <w:rFonts w:hint="eastAsia" w:ascii="仿宋" w:hAnsi="仿宋" w:eastAsia="仿宋" w:cs="仿宋"/>
          <w:b/>
          <w:sz w:val="28"/>
          <w:szCs w:val="28"/>
        </w:rPr>
        <w:t>：</w:t>
      </w:r>
      <w:r>
        <w:rPr>
          <w:rFonts w:hint="eastAsia" w:ascii="仿宋" w:hAnsi="仿宋" w:eastAsia="仿宋" w:cs="仿宋"/>
          <w:color w:val="000000" w:themeColor="text1"/>
          <w:sz w:val="28"/>
          <w:szCs w:val="28"/>
        </w:rPr>
        <w:t>学校在收到投标书后组织专家及相关部门人员进行评标，</w:t>
      </w:r>
      <w:r>
        <w:rPr>
          <w:rFonts w:hint="eastAsia" w:ascii="仿宋" w:hAnsi="仿宋" w:eastAsia="仿宋" w:cs="仿宋"/>
          <w:sz w:val="28"/>
          <w:szCs w:val="28"/>
        </w:rPr>
        <w:t>中标单位将交纳中标费，中标费按合同金额的</w:t>
      </w:r>
      <w:r>
        <w:rPr>
          <w:rFonts w:hint="eastAsia" w:ascii="仿宋" w:hAnsi="仿宋" w:eastAsia="仿宋" w:cs="仿宋"/>
          <w:sz w:val="28"/>
          <w:szCs w:val="28"/>
          <w:highlight w:val="none"/>
        </w:rPr>
        <w:t>1.5%</w:t>
      </w:r>
      <w:r>
        <w:rPr>
          <w:rFonts w:hint="eastAsia" w:ascii="仿宋" w:hAnsi="仿宋" w:eastAsia="仿宋" w:cs="仿宋"/>
          <w:sz w:val="28"/>
          <w:szCs w:val="28"/>
        </w:rPr>
        <w:t>收取。无论投标结果如何，投标人参与本项目投标的所有费用均应由投标人自行承担。</w:t>
      </w:r>
    </w:p>
    <w:p>
      <w:pPr>
        <w:spacing w:line="520" w:lineRule="exact"/>
        <w:ind w:firstLine="562" w:firstLineChars="200"/>
        <w:rPr>
          <w:rFonts w:ascii="仿宋" w:hAnsi="仿宋" w:eastAsia="仿宋" w:cs="仿宋"/>
          <w:sz w:val="28"/>
          <w:szCs w:val="28"/>
        </w:rPr>
      </w:pPr>
      <w:r>
        <w:rPr>
          <w:rFonts w:hint="eastAsia" w:ascii="方正黑体_GBK" w:hAnsi="方正黑体_GBK" w:eastAsia="方正黑体_GBK" w:cs="方正黑体_GBK"/>
          <w:b/>
          <w:sz w:val="28"/>
          <w:szCs w:val="28"/>
        </w:rPr>
        <w:t>九、投标地点：</w:t>
      </w:r>
      <w:r>
        <w:rPr>
          <w:rFonts w:hint="eastAsia" w:ascii="仿宋" w:hAnsi="仿宋" w:eastAsia="仿宋" w:cs="仿宋"/>
          <w:sz w:val="28"/>
          <w:szCs w:val="28"/>
        </w:rPr>
        <w:t>重庆财经学院行政楼2318室（重庆市巴南区龙洲湾尚文大道906号）</w:t>
      </w:r>
    </w:p>
    <w:p>
      <w:pPr>
        <w:spacing w:line="520" w:lineRule="exact"/>
        <w:ind w:firstLine="562" w:firstLineChars="200"/>
        <w:rPr>
          <w:rFonts w:ascii="仿宋" w:hAnsi="仿宋" w:eastAsia="仿宋" w:cs="仿宋"/>
          <w:sz w:val="28"/>
          <w:szCs w:val="28"/>
        </w:rPr>
      </w:pPr>
      <w:r>
        <w:rPr>
          <w:rFonts w:hint="eastAsia" w:ascii="方正黑体_GBK" w:hAnsi="方正黑体_GBK" w:eastAsia="方正黑体_GBK" w:cs="方正黑体_GBK"/>
          <w:b/>
          <w:sz w:val="28"/>
          <w:szCs w:val="28"/>
        </w:rPr>
        <w:t>十、发布招标公告的媒介：</w:t>
      </w:r>
      <w:r>
        <w:rPr>
          <w:rFonts w:hint="eastAsia" w:ascii="仿宋" w:hAnsi="仿宋" w:eastAsia="仿宋" w:cs="仿宋"/>
          <w:sz w:val="28"/>
          <w:szCs w:val="28"/>
        </w:rPr>
        <w:t>本次招标公告在“重庆财经学院校园网（</w:t>
      </w:r>
      <w:r>
        <w:rPr>
          <w:rFonts w:hint="eastAsia" w:ascii="仿宋" w:hAnsi="仿宋" w:eastAsia="仿宋" w:cs="仿宋"/>
          <w:b/>
          <w:bCs/>
          <w:spacing w:val="-4"/>
          <w:sz w:val="28"/>
          <w:szCs w:val="28"/>
        </w:rPr>
        <w:t>http://www.cfec.edu.cn</w:t>
      </w:r>
      <w:r>
        <w:rPr>
          <w:rFonts w:hint="eastAsia" w:ascii="仿宋" w:hAnsi="仿宋" w:eastAsia="仿宋" w:cs="仿宋"/>
          <w:sz w:val="28"/>
          <w:szCs w:val="28"/>
        </w:rPr>
        <w:t>）”上发布。</w:t>
      </w:r>
    </w:p>
    <w:p>
      <w:pPr>
        <w:spacing w:line="520" w:lineRule="exact"/>
        <w:ind w:left="-154" w:leftChars="-64" w:firstLine="843" w:firstLineChars="300"/>
        <w:rPr>
          <w:rFonts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十一、联系方式</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联系人：沈老师   </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联系电话：88968652</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招标人：重庆财经学院</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地址：重庆市巴南区龙洲湾尚文大道906号</w:t>
      </w:r>
      <w:bookmarkStart w:id="7" w:name="_Toc481694468"/>
      <w:bookmarkStart w:id="8" w:name="_Toc484637073"/>
      <w:bookmarkStart w:id="9" w:name="_Toc30163"/>
      <w:bookmarkStart w:id="10" w:name="_Toc224103315"/>
      <w:bookmarkStart w:id="11" w:name="_Toc287607744"/>
    </w:p>
    <w:p>
      <w:pPr>
        <w:pStyle w:val="2"/>
        <w:numPr>
          <w:ilvl w:val="0"/>
          <w:numId w:val="0"/>
        </w:numPr>
        <w:spacing w:before="0" w:after="0" w:line="240" w:lineRule="auto"/>
        <w:jc w:val="center"/>
        <w:rPr>
          <w:rFonts w:hint="eastAsia" w:ascii="仿宋" w:hAnsi="仿宋" w:eastAsia="仿宋" w:cs="仿宋"/>
        </w:rPr>
      </w:pPr>
      <w:bookmarkStart w:id="12" w:name="_Toc531594734"/>
    </w:p>
    <w:p>
      <w:pPr>
        <w:rPr>
          <w:rFonts w:hint="eastAsia" w:ascii="仿宋" w:hAnsi="仿宋" w:eastAsia="仿宋" w:cs="仿宋"/>
        </w:rPr>
      </w:pPr>
    </w:p>
    <w:p>
      <w:pPr>
        <w:rPr>
          <w:rFonts w:hint="eastAsia" w:ascii="仿宋" w:hAnsi="仿宋" w:eastAsia="仿宋" w:cs="仿宋"/>
        </w:rPr>
      </w:pPr>
    </w:p>
    <w:p>
      <w:pPr>
        <w:pStyle w:val="2"/>
        <w:numPr>
          <w:ilvl w:val="0"/>
          <w:numId w:val="10"/>
        </w:numPr>
        <w:spacing w:before="0" w:after="0" w:line="240" w:lineRule="auto"/>
        <w:ind w:left="432" w:leftChars="0" w:hanging="432" w:firstLineChars="0"/>
        <w:jc w:val="center"/>
        <w:rPr>
          <w:rFonts w:hint="eastAsia" w:ascii="仿宋" w:hAnsi="仿宋" w:eastAsia="仿宋" w:cs="仿宋"/>
        </w:rPr>
      </w:pPr>
      <w:r>
        <w:rPr>
          <w:rFonts w:hint="eastAsia" w:ascii="仿宋" w:hAnsi="仿宋" w:eastAsia="仿宋" w:cs="仿宋"/>
        </w:rPr>
        <w:t>投标人需知</w:t>
      </w:r>
      <w:bookmarkEnd w:id="7"/>
      <w:bookmarkEnd w:id="8"/>
      <w:bookmarkEnd w:id="9"/>
      <w:bookmarkEnd w:id="10"/>
      <w:bookmarkEnd w:id="11"/>
      <w:bookmarkEnd w:id="12"/>
    </w:p>
    <w:p>
      <w:pPr>
        <w:numPr>
          <w:ilvl w:val="0"/>
          <w:numId w:val="0"/>
        </w:numPr>
        <w:ind w:leftChars="0"/>
      </w:pPr>
    </w:p>
    <w:p>
      <w:pPr>
        <w:jc w:val="center"/>
        <w:rPr>
          <w:rFonts w:ascii="宋体" w:hAnsi="宋体" w:cs="宋体"/>
          <w:b/>
          <w:bCs/>
          <w:sz w:val="28"/>
          <w:szCs w:val="28"/>
        </w:rPr>
      </w:pPr>
      <w:r>
        <w:rPr>
          <w:rFonts w:hint="eastAsia" w:ascii="宋体" w:hAnsi="宋体" w:cs="宋体"/>
          <w:b/>
          <w:bCs/>
          <w:sz w:val="28"/>
          <w:szCs w:val="28"/>
        </w:rPr>
        <w:t>（投标人需知前附表）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条款号</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重庆财经学院中新金融科技现代产业学院实验实训中心区块链金融平台及智能机器人平台采购项目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招标人</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单位名称：重庆财经学院</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  址：重庆市巴南区龙洲湾尚文大道906号</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联系人：沈老师 </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   话：88968652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招标人自筹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详见招标文件第三章 招标数量及参数要求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交货方式</w:t>
            </w:r>
          </w:p>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1.交货方式：重庆财经学院指定位置。</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2.交货时间：</w:t>
            </w:r>
            <w:r>
              <w:rPr>
                <w:rFonts w:hint="eastAsia" w:asciiTheme="minorEastAsia" w:hAnsiTheme="minorEastAsia" w:eastAsiaTheme="minorEastAsia" w:cstheme="minorEastAsia"/>
                <w:sz w:val="21"/>
                <w:szCs w:val="21"/>
                <w:highlight w:val="none"/>
              </w:rPr>
              <w:t>签订合同后10天内（日历日）内。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提供相关软件的介质、安装与维护手册、软件操作使用手册。</w:t>
            </w:r>
          </w:p>
          <w:p>
            <w:pPr>
              <w:spacing w:line="520" w:lineRule="exact"/>
              <w:rPr>
                <w:rFonts w:hint="default" w:ascii="宋体" w:hAnsi="宋体"/>
                <w:sz w:val="24"/>
                <w:szCs w:val="24"/>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对</w:t>
            </w:r>
            <w:r>
              <w:rPr>
                <w:rFonts w:hint="eastAsia" w:asciiTheme="minorEastAsia" w:hAnsiTheme="minorEastAsia" w:eastAsiaTheme="minorEastAsia" w:cstheme="minorEastAsia"/>
                <w:sz w:val="21"/>
                <w:szCs w:val="21"/>
                <w:lang w:eastAsia="zh-CN"/>
              </w:rPr>
              <w:t>招标</w:t>
            </w:r>
            <w:r>
              <w:rPr>
                <w:rFonts w:hint="eastAsia" w:asciiTheme="minorEastAsia" w:hAnsiTheme="minorEastAsia" w:eastAsiaTheme="minorEastAsia" w:cstheme="minorEastAsia"/>
                <w:sz w:val="21"/>
                <w:szCs w:val="21"/>
              </w:rPr>
              <w:t>人</w:t>
            </w:r>
            <w:r>
              <w:rPr>
                <w:rFonts w:hint="eastAsia" w:asciiTheme="minorEastAsia" w:hAnsiTheme="minorEastAsia" w:eastAsiaTheme="minorEastAsia" w:cstheme="minorEastAsia"/>
                <w:sz w:val="21"/>
                <w:szCs w:val="21"/>
                <w:lang w:eastAsia="zh-CN"/>
              </w:rPr>
              <w:t>提供</w:t>
            </w:r>
            <w:r>
              <w:rPr>
                <w:rFonts w:hint="eastAsia" w:asciiTheme="minorEastAsia" w:hAnsiTheme="minorEastAsia" w:eastAsiaTheme="minorEastAsia" w:cstheme="minorEastAsia"/>
                <w:sz w:val="21"/>
                <w:szCs w:val="21"/>
              </w:rPr>
              <w:t>基本</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免费培训，使</w:t>
            </w:r>
            <w:r>
              <w:rPr>
                <w:rFonts w:hint="eastAsia" w:asciiTheme="minorEastAsia" w:hAnsiTheme="minorEastAsia" w:eastAsiaTheme="minorEastAsia" w:cstheme="minorEastAsia"/>
                <w:sz w:val="21"/>
                <w:szCs w:val="21"/>
                <w:lang w:eastAsia="zh-CN"/>
              </w:rPr>
              <w:t>招标</w:t>
            </w:r>
            <w:r>
              <w:rPr>
                <w:rFonts w:hint="eastAsia" w:asciiTheme="minorEastAsia" w:hAnsiTheme="minorEastAsia" w:eastAsiaTheme="minorEastAsia" w:cstheme="minorEastAsia"/>
                <w:sz w:val="21"/>
                <w:szCs w:val="21"/>
              </w:rPr>
              <w:t>方使用人员（或专业学生）能够正常操作。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1.3.4</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验收合格双方签字后，要求质保服务五年及以上。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质量要求</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确保</w:t>
            </w:r>
            <w:r>
              <w:rPr>
                <w:rFonts w:hint="eastAsia" w:asciiTheme="minorEastAsia" w:hAnsiTheme="minorEastAsia" w:eastAsiaTheme="minorEastAsia" w:cstheme="minorEastAsia"/>
                <w:sz w:val="21"/>
                <w:szCs w:val="21"/>
              </w:rPr>
              <w:t>提供符合招标要求的合格产品，且所提供的软件产品性能可靠、功能齐全、运行稳定；</w:t>
            </w:r>
            <w:r>
              <w:rPr>
                <w:rFonts w:hint="eastAsia" w:asciiTheme="minorEastAsia" w:hAnsiTheme="minorEastAsia" w:eastAsiaTheme="minorEastAsia" w:cstheme="minorEastAsia"/>
                <w:sz w:val="21"/>
                <w:szCs w:val="21"/>
                <w:lang w:eastAsia="zh-CN"/>
              </w:rPr>
              <w:t>招标</w:t>
            </w:r>
            <w:r>
              <w:rPr>
                <w:rFonts w:hint="eastAsia" w:asciiTheme="minorEastAsia" w:hAnsiTheme="minorEastAsia" w:eastAsiaTheme="minorEastAsia" w:cstheme="minorEastAsia"/>
                <w:sz w:val="21"/>
                <w:szCs w:val="21"/>
              </w:rPr>
              <w:t>人在中华人民共和国境内使用投标人提供的货物及服务时免受第三方提出的侵犯其专利权或其它知识产权的起诉。如果第三方提出侵权指控，中标方应承担由此而引起的一切法律责任和费用。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售后服务</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质保期内上门免费维修及故障处理等保修服务。当出现故障或运行问题，接到故障通知后，中标方须在24小时内提供免费上门（或电话、远程网路）服务直至恢复正常。</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软件升级服务：自软件终验合格之日起，中标方至少为学院提供三年软件免费升级。</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.在质保期内，如果中标方的软件技术升级，中标方应及时通知采购人，如采购人有相应要求，中标方应对软件进行升级服务。</w:t>
            </w:r>
          </w:p>
          <w:p>
            <w:pPr>
              <w:spacing w:line="52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质保期外服务要求：质量保证期过后，供应商和厂家应同样提供免费电话咨询服务，并应承诺提供产品上门维护服务；质量保证期过后，采购人需要继续由原供应商和厂家提供售后服务的，该供应商和厂家应以优惠价格提供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1.3.7</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项目验收</w:t>
            </w:r>
          </w:p>
        </w:tc>
        <w:tc>
          <w:tcPr>
            <w:tcW w:w="6092" w:type="dxa"/>
            <w:tcBorders>
              <w:top w:val="single" w:color="auto" w:sz="4" w:space="0"/>
              <w:left w:val="single" w:color="auto" w:sz="4" w:space="0"/>
              <w:bottom w:val="single" w:color="auto" w:sz="4" w:space="0"/>
              <w:right w:val="single" w:color="auto" w:sz="4" w:space="0"/>
            </w:tcBorders>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提供完备的技术资料、装箱单和合格证等，并派遣专业技术人员进行现场安装调试</w:t>
            </w:r>
            <w:r>
              <w:rPr>
                <w:rFonts w:hint="eastAsia" w:asciiTheme="minorEastAsia" w:hAnsiTheme="minorEastAsia" w:eastAsiaTheme="minorEastAsia" w:cstheme="minorEastAsia"/>
                <w:sz w:val="21"/>
                <w:szCs w:val="21"/>
                <w:lang w:eastAsia="zh-CN"/>
              </w:rPr>
              <w:t>（若因疫情等不可抗力因素在条件允许下可远程安装）</w:t>
            </w:r>
            <w:r>
              <w:rPr>
                <w:rFonts w:hint="eastAsia" w:asciiTheme="minorEastAsia" w:hAnsiTheme="minorEastAsia" w:eastAsiaTheme="minorEastAsia" w:cstheme="minorEastAsia"/>
                <w:sz w:val="21"/>
                <w:szCs w:val="21"/>
              </w:rPr>
              <w:t>。验收合格条件如下：</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（1）设备技术参数与采购合同一致，性能指标达到规定的标准。</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（2）货物技术资料、装箱单、合格证等资料齐全。</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（3）在设备试运行期间所出现的问题得到解决，并运行正常。</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（4）在规定时间内完成交货并验收，并经采购人确认。</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（5）在正常的教学试运行一个月后符合要求，才作为最终验收。</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经验收合格后填写“项目验收单”，双方签字，各执一份。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本项目招标实行资格后审，投标人应具备以下资格条件：</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1.投标人具有独立承担民事责任的能力；</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2.投标人具有良好的商业信誉和健全的财务会计制度，需提供近</w:t>
            </w:r>
            <w:r>
              <w:rPr>
                <w:rFonts w:hint="eastAsia" w:asciiTheme="minorEastAsia" w:hAnsiTheme="minorEastAsia" w:eastAsiaTheme="minorEastAsia" w:cstheme="minorEastAsia"/>
                <w:sz w:val="21"/>
                <w:szCs w:val="21"/>
                <w:highlight w:val="none"/>
              </w:rPr>
              <w:t>三年</w:t>
            </w:r>
            <w:r>
              <w:rPr>
                <w:rFonts w:hint="eastAsia" w:asciiTheme="minorEastAsia" w:hAnsiTheme="minorEastAsia" w:eastAsiaTheme="minorEastAsia" w:cstheme="minorEastAsia"/>
                <w:sz w:val="21"/>
                <w:szCs w:val="21"/>
              </w:rPr>
              <w:t xml:space="preserve">的财务报表； </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3.投标人具有依法缴纳税收和社会保障资金的良好纪录；</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4.投标人具有履行合同所必需的专业技术能力；</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5.投标人参加政府采购活动前三年内，没有骗取中标行为，无不正当理由放弃中标（成交）行为，未进行过恶意投诉，在经营活动中没有违法、违规记录；</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6.投标人具有完善的质量保证和售后服务体系。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是否允许</w:t>
            </w:r>
          </w:p>
          <w:p>
            <w:pPr>
              <w:spacing w:line="5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分包</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招标文件需修改或根据投标人提出的问题进行修改、澄清或答疑，招标人将在网上发出补遗通知，请投标人自行查阅和下载。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1.投标人对招标文件如有疑问，应在规定的时间内通过88968652发送传真提出。如在规定时间内没有对提出的，视为完全理解并接受招标文件的所有内容。</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2.提出疑问开始时间：同招标公告发布时间</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3.提出疑问结束时间：2022年5月</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日12:00时（北京时间）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1.招标人对已发出的招标文件需要进行澄清、修改或对疑问作答的，将在重庆财经学院校园网（http://www.cfec.edu.cn）”上发布。</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2.答疑开始时间：同提出疑问结束时间</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3.答疑结束时间：2022年5月30日16:00时（北京时间）</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投标人自行登录重庆财经学院校园网（http://www.cfec.edu.cn）直接下载澄清、修改或对疑问作答的相关资料。不论投标人下载与否，招标人和招标代理机构都视为投标人收到以上资料并全部知晓有关招标过程和事宜，由此产生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投标文件的组成和内容必须实质性响应招标文件的要求，否则将被拒绝。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1.投标文件计量单位：采用国家法定计量单位（标准）；</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2.投标文件的组成必须统一格式（见招标文件第五章内容）</w:t>
            </w:r>
          </w:p>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投标人的投标报价应是本章投标人须知前附表1.3.1项中所述的全部内容的投标报价，如果有任何遗漏，均被视为投标人已经在其投标总价中考虑。</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投标报价包含以下三个部分：</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2.1货物价：货到买方现场落地交货价。</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2.2相关费用：包括附件、技术培训费、运杂费（运至交货地点）、配合费、保险费、设备安装费（含人工费）、安装材料费、辅助材料费、税费以及设备正常使用等需要的所有费用。</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3.免费质保内所需的费用：包含免费质保期内因产品质量问题引起的所有设备维修及人员维修所造成的出差等所有费用（不包括因操作失误或其他人为造成的设备损坏）。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90日历天（从递交投标文件截止日起计算）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pPr>
              <w:pStyle w:val="198"/>
              <w:spacing w:line="52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1.投标保证金：投标人应提供人民币</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000元整（现金）的投标保证金，带至投标现场。</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2.投标保证金的退还：招标人发出中标通知书后15个工作日内，学院退还未列入中标候选人的投标保证金（不计息）。</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3.投标保证金有效期：投标保证金有效期＝投标有效期。</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4.不按要求提交投标保证金的，其投标文件作废标处理。</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5.中标人若在中标通知书发出3日之内拒绝签订合同，其保证金将不予退还；若发生此种情况，招标人有权另选排名在其后的中标候选人为中标人。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本须知前附表1.4.1条要求的相关资料复印件（需要加盖公章）即为审查内容；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3.7.3</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1.投标文件格式上要求签字盖章的地方，必须签字盖章；</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2.所有涉及投标报价、承诺、保证等内容必须签字盖章。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3.7.4</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资格审查资料一式二份；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3.7.5</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1.投标函</w:t>
            </w:r>
          </w:p>
          <w:p>
            <w:pPr>
              <w:spacing w:line="52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2.法定代表人身份证明及授权委托书</w:t>
            </w:r>
          </w:p>
          <w:p>
            <w:pPr>
              <w:spacing w:line="52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3.投标人基本情况表</w:t>
            </w:r>
          </w:p>
          <w:p>
            <w:pPr>
              <w:spacing w:line="52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4.折扣报价</w:t>
            </w:r>
          </w:p>
          <w:p>
            <w:pPr>
              <w:spacing w:line="52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5.相关资质证明及承诺</w:t>
            </w:r>
          </w:p>
          <w:p>
            <w:pPr>
              <w:spacing w:line="52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6.售后服务</w:t>
            </w:r>
          </w:p>
          <w:p>
            <w:pPr>
              <w:spacing w:line="52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7.投标业绩一览表</w:t>
            </w:r>
          </w:p>
          <w:p>
            <w:pPr>
              <w:spacing w:line="52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8.近三年财务报表</w:t>
            </w:r>
          </w:p>
          <w:p>
            <w:pPr>
              <w:spacing w:line="52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9.承诺函</w:t>
            </w:r>
          </w:p>
          <w:p>
            <w:pPr>
              <w:spacing w:line="52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1.使用投标文件袋</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2.密封并在投标文件袋处加盖投标人单位章，同时投标文件大袋应按本表第4.1.2项的规定写明相应内容。</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3.如果投标文件大袋未按上述规定封装，招标人拒绝接收。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4.1.2</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项目名称：重庆财经学院中新金融科技现代产业学院实验实训中心区块链金融平台及智能机器人平台设备采购项目  </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（投标人盖章）</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投标文件 在开标前不得开启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投标截止时间</w:t>
            </w:r>
          </w:p>
        </w:tc>
        <w:tc>
          <w:tcPr>
            <w:tcW w:w="6092" w:type="dxa"/>
            <w:tcBorders>
              <w:top w:val="single" w:color="auto" w:sz="4" w:space="0"/>
              <w:left w:val="single" w:color="auto" w:sz="4" w:space="0"/>
              <w:bottom w:val="single" w:color="auto" w:sz="4" w:space="0"/>
              <w:right w:val="single" w:color="auto" w:sz="4" w:space="0"/>
            </w:tcBorders>
            <w:vAlign w:val="bottom"/>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2022年5月31日, 具体送达时间将于2022年5月30日在重庆财经学院校园网（http://www.cfec.edu.cn）通知。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4.2.2</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投标人将投标文件密封送达重庆财经学院行政楼2318 室（地址：重庆市巴南区龙洲湾尚文大道906号）。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4.2.3</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开标会</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开标会由重庆财经学院招标办公室主持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开标时间：暂定2022年5月31日，如有更改将在重庆财经学院校园网（http://www.cfec.edu.cn）通知。</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开标地点：重庆财经学院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本项目评标委员会按照本次招标文件要求进行评标。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由招标人根据重庆财经学院招投标管理办法组建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否，评标委员会按照由高到低的顺序依次推荐1～3名为中标候选人。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w:t>
            </w:r>
          </w:p>
        </w:tc>
        <w:tc>
          <w:tcPr>
            <w:tcW w:w="151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重新招标</w:t>
            </w:r>
          </w:p>
        </w:tc>
        <w:tc>
          <w:tcPr>
            <w:tcW w:w="609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（1）按投标人须知第8.1.（2）执行；</w:t>
            </w:r>
          </w:p>
          <w:p>
            <w:pPr>
              <w:spacing w:line="5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投标管理办法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520" w:lineRule="exact"/>
              <w:ind w:left="480"/>
              <w:jc w:val="center"/>
              <w:textAlignment w:val="baseline"/>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1.投标人收到中标通知后3天后，投标保证金自动转为履约保证金。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本项目从签订合同起，中标方应按照招标方的要求在</w:t>
            </w:r>
            <w:r>
              <w:rPr>
                <w:rFonts w:hint="eastAsia" w:asciiTheme="minorEastAsia" w:hAnsiTheme="minorEastAsia" w:eastAsiaTheme="minorEastAsia" w:cstheme="minorEastAsia"/>
                <w:sz w:val="21"/>
                <w:szCs w:val="21"/>
                <w:highlight w:val="none"/>
              </w:rPr>
              <w:t>签订合同后10天内（日历日）内</w:t>
            </w:r>
            <w:r>
              <w:rPr>
                <w:rFonts w:hint="eastAsia" w:asciiTheme="minorEastAsia" w:hAnsiTheme="minorEastAsia" w:eastAsiaTheme="minorEastAsia" w:cstheme="minorEastAsia"/>
                <w:b/>
                <w:sz w:val="21"/>
                <w:szCs w:val="21"/>
                <w:highlight w:val="none"/>
              </w:rPr>
              <w:t>将所提供的设备安</w:t>
            </w:r>
            <w:r>
              <w:rPr>
                <w:rFonts w:hint="eastAsia" w:asciiTheme="minorEastAsia" w:hAnsiTheme="minorEastAsia" w:eastAsiaTheme="minorEastAsia" w:cstheme="minorEastAsia"/>
                <w:b/>
                <w:sz w:val="21"/>
                <w:szCs w:val="21"/>
              </w:rPr>
              <w:t>装到指定地点。若规定时间内中标方未能完成本项目，招标人有权不退还履约保证金并追究中标方的责任。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1.按合同要求所有设备安装完成、验收合格并履行完验收手续后，甲方通知乙方开具全额正规税务发票并同时提供汇款单位名称、帐号、开户行等，并按相关程度进行款项支付。</w:t>
            </w:r>
          </w:p>
          <w:p>
            <w:pPr>
              <w:spacing w:line="520" w:lineRule="exact"/>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2.付款方式：全部货款分三次付清。验收合格后首付全部货款的90%，正常运行半年后付款5%，剩余5%作为质保金，于质保期满后无息付清。</w:t>
            </w:r>
          </w:p>
        </w:tc>
      </w:tr>
    </w:tbl>
    <w:p>
      <w:pPr>
        <w:spacing w:line="520" w:lineRule="exact"/>
        <w:rPr>
          <w:rFonts w:eastAsia="仿宋_GB2312"/>
          <w:kern w:val="0"/>
          <w:szCs w:val="24"/>
        </w:rPr>
      </w:pPr>
    </w:p>
    <w:p>
      <w:pPr>
        <w:spacing w:line="520" w:lineRule="exact"/>
        <w:rPr>
          <w:b/>
          <w:szCs w:val="24"/>
        </w:rPr>
      </w:pPr>
      <w:r>
        <w:rPr>
          <w:rFonts w:eastAsia="仿宋_GB2312"/>
          <w:kern w:val="0"/>
          <w:szCs w:val="24"/>
        </w:rPr>
        <w:br w:type="page"/>
      </w:r>
    </w:p>
    <w:p>
      <w:pPr>
        <w:autoSpaceDE w:val="0"/>
        <w:autoSpaceDN w:val="0"/>
        <w:adjustRightInd w:val="0"/>
        <w:snapToGrid w:val="0"/>
        <w:spacing w:line="520" w:lineRule="exact"/>
        <w:jc w:val="left"/>
        <w:outlineLvl w:val="1"/>
        <w:rPr>
          <w:rFonts w:ascii="方正黑体_GBK" w:hAnsi="方正黑体_GBK" w:eastAsia="方正黑体_GBK" w:cs="方正黑体_GBK"/>
          <w:b/>
          <w:snapToGrid w:val="0"/>
          <w:w w:val="99"/>
          <w:kern w:val="0"/>
          <w:sz w:val="28"/>
          <w:szCs w:val="28"/>
          <w:lang w:val="zh-CN"/>
        </w:rPr>
      </w:pPr>
      <w:bookmarkStart w:id="13" w:name="_Toc531594735"/>
      <w:bookmarkStart w:id="14" w:name="_Toc334774164"/>
      <w:bookmarkStart w:id="15" w:name="_Toc32150"/>
      <w:bookmarkStart w:id="16" w:name="_Toc481694469"/>
      <w:r>
        <w:rPr>
          <w:rFonts w:hint="eastAsia" w:ascii="方正黑体_GBK" w:hAnsi="方正黑体_GBK" w:eastAsia="方正黑体_GBK" w:cs="方正黑体_GBK"/>
          <w:b/>
          <w:snapToGrid w:val="0"/>
          <w:w w:val="99"/>
          <w:kern w:val="0"/>
          <w:sz w:val="28"/>
          <w:szCs w:val="28"/>
          <w:lang w:val="zh-CN"/>
        </w:rPr>
        <w:t>1</w:t>
      </w:r>
      <w:r>
        <w:rPr>
          <w:rFonts w:hint="eastAsia" w:ascii="方正黑体_GBK" w:hAnsi="方正黑体_GBK" w:eastAsia="方正黑体_GBK" w:cs="方正黑体_GBK"/>
          <w:b/>
          <w:snapToGrid w:val="0"/>
          <w:w w:val="99"/>
          <w:kern w:val="0"/>
          <w:sz w:val="28"/>
          <w:szCs w:val="28"/>
        </w:rPr>
        <w:t>.</w:t>
      </w:r>
      <w:r>
        <w:rPr>
          <w:rFonts w:hint="eastAsia" w:ascii="方正黑体_GBK" w:hAnsi="方正黑体_GBK" w:eastAsia="方正黑体_GBK" w:cs="方正黑体_GBK"/>
          <w:b/>
          <w:snapToGrid w:val="0"/>
          <w:w w:val="99"/>
          <w:kern w:val="0"/>
          <w:sz w:val="28"/>
          <w:szCs w:val="28"/>
          <w:lang w:val="zh-CN"/>
        </w:rPr>
        <w:t>总则</w:t>
      </w:r>
      <w:bookmarkEnd w:id="13"/>
      <w:bookmarkEnd w:id="14"/>
      <w:bookmarkEnd w:id="15"/>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17" w:name="_Toc334774165"/>
      <w:bookmarkStart w:id="18" w:name="_Toc12010"/>
      <w:bookmarkStart w:id="19" w:name="_Toc531594736"/>
      <w:bookmarkStart w:id="20" w:name="_Toc317863423"/>
      <w:bookmarkStart w:id="21" w:name="_Toc200513127"/>
      <w:bookmarkStart w:id="22" w:name="_Toc325636581"/>
      <w:r>
        <w:rPr>
          <w:rFonts w:hint="eastAsia" w:ascii="方正黑体_GBK" w:hAnsi="方正黑体_GBK" w:eastAsia="方正黑体_GBK" w:cs="方正黑体_GBK"/>
          <w:b/>
          <w:snapToGrid w:val="0"/>
          <w:kern w:val="0"/>
          <w:szCs w:val="24"/>
        </w:rPr>
        <w:t xml:space="preserve">1.1 </w:t>
      </w:r>
      <w:r>
        <w:rPr>
          <w:rFonts w:hint="eastAsia" w:ascii="方正黑体_GBK" w:hAnsi="方正黑体_GBK" w:eastAsia="方正黑体_GBK" w:cs="方正黑体_GBK"/>
          <w:b/>
          <w:snapToGrid w:val="0"/>
          <w:kern w:val="0"/>
          <w:szCs w:val="24"/>
          <w:lang w:val="zh-CN"/>
        </w:rPr>
        <w:t>项目概况</w:t>
      </w:r>
      <w:bookmarkEnd w:id="17"/>
      <w:bookmarkEnd w:id="18"/>
      <w:bookmarkEnd w:id="19"/>
    </w:p>
    <w:p>
      <w:pPr>
        <w:autoSpaceDE w:val="0"/>
        <w:autoSpaceDN w:val="0"/>
        <w:spacing w:line="520" w:lineRule="exact"/>
        <w:contextualSpacing/>
        <w:jc w:val="left"/>
        <w:rPr>
          <w:rFonts w:ascii="仿宋" w:hAnsi="仿宋" w:eastAsia="仿宋" w:cs="仿宋"/>
          <w:bCs/>
          <w:kern w:val="0"/>
          <w:sz w:val="28"/>
          <w:szCs w:val="28"/>
        </w:rPr>
      </w:pPr>
      <w:r>
        <w:rPr>
          <w:rFonts w:hint="eastAsia" w:ascii="仿宋" w:hAnsi="仿宋" w:eastAsia="仿宋" w:cs="仿宋"/>
          <w:bCs/>
          <w:kern w:val="0"/>
          <w:sz w:val="28"/>
          <w:szCs w:val="28"/>
        </w:rPr>
        <w:t>1.1.1 根据《中华人民共和国招标投标法》等有关法律、法规和规章的规定，对本项目货物采购及服务进行公开招标。</w:t>
      </w:r>
    </w:p>
    <w:p>
      <w:pPr>
        <w:autoSpaceDE w:val="0"/>
        <w:autoSpaceDN w:val="0"/>
        <w:spacing w:line="520" w:lineRule="exact"/>
        <w:contextualSpacing/>
        <w:jc w:val="left"/>
        <w:rPr>
          <w:rFonts w:ascii="仿宋" w:hAnsi="仿宋" w:eastAsia="仿宋" w:cs="仿宋"/>
          <w:bCs/>
          <w:kern w:val="0"/>
          <w:sz w:val="28"/>
          <w:szCs w:val="28"/>
        </w:rPr>
      </w:pPr>
      <w:r>
        <w:rPr>
          <w:rFonts w:hint="eastAsia" w:ascii="仿宋" w:hAnsi="仿宋" w:eastAsia="仿宋" w:cs="仿宋"/>
          <w:bCs/>
          <w:kern w:val="0"/>
          <w:sz w:val="28"/>
          <w:szCs w:val="28"/>
        </w:rPr>
        <w:t>1.1.2 本招标项目名称、项目地点：见投标人需知前附表。</w:t>
      </w:r>
    </w:p>
    <w:p>
      <w:pPr>
        <w:autoSpaceDE w:val="0"/>
        <w:autoSpaceDN w:val="0"/>
        <w:spacing w:line="520" w:lineRule="exact"/>
        <w:contextualSpacing/>
        <w:jc w:val="left"/>
        <w:rPr>
          <w:rFonts w:ascii="仿宋" w:hAnsi="仿宋" w:eastAsia="仿宋" w:cs="仿宋"/>
          <w:bCs/>
          <w:kern w:val="0"/>
          <w:sz w:val="28"/>
          <w:szCs w:val="28"/>
        </w:rPr>
      </w:pPr>
      <w:r>
        <w:rPr>
          <w:rFonts w:hint="eastAsia" w:ascii="仿宋" w:hAnsi="仿宋" w:eastAsia="仿宋" w:cs="仿宋"/>
          <w:bCs/>
          <w:kern w:val="0"/>
          <w:sz w:val="28"/>
          <w:szCs w:val="28"/>
        </w:rPr>
        <w:t>1.1.3 招标人名称、地址、联系方式：见投标人需知前附表。</w:t>
      </w:r>
    </w:p>
    <w:bookmarkEnd w:id="20"/>
    <w:bookmarkEnd w:id="21"/>
    <w:bookmarkEnd w:id="22"/>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23" w:name="_Toc200513128"/>
      <w:bookmarkStart w:id="24" w:name="_Toc317863424"/>
      <w:bookmarkStart w:id="25" w:name="_Toc325636582"/>
      <w:bookmarkStart w:id="26" w:name="_Toc31904"/>
      <w:bookmarkStart w:id="27" w:name="_Toc334774166"/>
      <w:bookmarkStart w:id="28" w:name="_Toc531594737"/>
      <w:r>
        <w:rPr>
          <w:rFonts w:hint="eastAsia" w:ascii="方正黑体_GBK" w:hAnsi="方正黑体_GBK" w:eastAsia="方正黑体_GBK" w:cs="方正黑体_GBK"/>
          <w:b/>
          <w:snapToGrid w:val="0"/>
          <w:kern w:val="0"/>
          <w:szCs w:val="24"/>
          <w:lang w:val="zh-CN"/>
        </w:rPr>
        <w:t xml:space="preserve">1.2 </w:t>
      </w:r>
      <w:bookmarkEnd w:id="23"/>
      <w:bookmarkEnd w:id="24"/>
      <w:bookmarkEnd w:id="25"/>
      <w:r>
        <w:rPr>
          <w:rFonts w:hint="eastAsia" w:ascii="方正黑体_GBK" w:hAnsi="方正黑体_GBK" w:eastAsia="方正黑体_GBK" w:cs="方正黑体_GBK"/>
          <w:b/>
          <w:snapToGrid w:val="0"/>
          <w:kern w:val="0"/>
          <w:szCs w:val="24"/>
          <w:lang w:val="zh-CN"/>
        </w:rPr>
        <w:t>资金来源和落实情况</w:t>
      </w:r>
      <w:bookmarkEnd w:id="26"/>
      <w:bookmarkEnd w:id="27"/>
      <w:bookmarkEnd w:id="28"/>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1.2.1 本招标项目的资金来源：见投标人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1.2.2 本招标项目的资金落实情况：见投标人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29" w:name="_Toc200513129"/>
      <w:bookmarkStart w:id="30" w:name="_Toc317863425"/>
      <w:bookmarkStart w:id="31" w:name="_Toc334774167"/>
      <w:bookmarkStart w:id="32" w:name="_Toc21275"/>
      <w:bookmarkStart w:id="33" w:name="_Toc325636583"/>
      <w:bookmarkStart w:id="34" w:name="_Toc531594738"/>
      <w:r>
        <w:rPr>
          <w:rFonts w:hint="eastAsia" w:ascii="方正黑体_GBK" w:hAnsi="方正黑体_GBK" w:eastAsia="方正黑体_GBK" w:cs="方正黑体_GBK"/>
          <w:b/>
          <w:snapToGrid w:val="0"/>
          <w:kern w:val="0"/>
          <w:szCs w:val="24"/>
          <w:lang w:val="zh-CN"/>
        </w:rPr>
        <w:t>1.3 招标</w:t>
      </w:r>
      <w:bookmarkEnd w:id="29"/>
      <w:bookmarkEnd w:id="30"/>
      <w:r>
        <w:rPr>
          <w:rFonts w:hint="eastAsia" w:ascii="方正黑体_GBK" w:hAnsi="方正黑体_GBK" w:eastAsia="方正黑体_GBK" w:cs="方正黑体_GBK"/>
          <w:b/>
          <w:snapToGrid w:val="0"/>
          <w:kern w:val="0"/>
          <w:szCs w:val="24"/>
          <w:lang w:val="zh-CN"/>
        </w:rPr>
        <w:t>内容</w:t>
      </w:r>
      <w:bookmarkEnd w:id="31"/>
      <w:bookmarkEnd w:id="32"/>
      <w:bookmarkEnd w:id="33"/>
      <w:bookmarkEnd w:id="34"/>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1.3.1 本次招标范围：见投标人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1.3.2 交货方式、交货时间：见投标人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1.3.3 伴随服务要求：见投标人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1.3.4 质量保证期：见投标人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1.3.5 质量要求：见投标人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1.3.6 售后服务：见投标人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1.3.7 项目验收：见投标人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35" w:name="_Toc531594739"/>
      <w:bookmarkStart w:id="36" w:name="_Toc334774168"/>
      <w:bookmarkStart w:id="37" w:name="_Toc325636584"/>
      <w:bookmarkStart w:id="38" w:name="_Toc8901"/>
      <w:r>
        <w:rPr>
          <w:rFonts w:hint="eastAsia" w:ascii="方正黑体_GBK" w:hAnsi="方正黑体_GBK" w:eastAsia="方正黑体_GBK" w:cs="方正黑体_GBK"/>
          <w:b/>
          <w:snapToGrid w:val="0"/>
          <w:kern w:val="0"/>
          <w:szCs w:val="24"/>
          <w:lang w:val="zh-CN"/>
        </w:rPr>
        <w:t>1.4 投标人资格要求</w:t>
      </w:r>
      <w:bookmarkEnd w:id="35"/>
      <w:bookmarkEnd w:id="36"/>
      <w:bookmarkEnd w:id="37"/>
      <w:bookmarkEnd w:id="38"/>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1.4.1 投标人应具备承担本项目的资质条件、能力和信誉。</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1.4.2 本项目不接受联合体投标。</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1.4.3 投标人不得存在下列情形之一：</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1.4.3.1 与国有资金投资或国家融资项目的招标人或招标代理机构有控股关系；</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1.4.3.2 单位负责人为同一人或者存在控股、管理关系的不同单位，不得参加同一标段投标或者未划分标段的同一招标项目投标。</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1.4.3.3 为参加同一招标项目投标的其他投标人编制投标文件或提供咨询服务；</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1.4.3.4 被有关行政部门暂停投标资格期限未满。</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39" w:name="_Toc531594740"/>
      <w:bookmarkStart w:id="40" w:name="_Toc17569"/>
      <w:bookmarkStart w:id="41" w:name="_Toc317863427"/>
      <w:bookmarkStart w:id="42" w:name="_Toc200513132"/>
      <w:bookmarkStart w:id="43" w:name="_Toc334774169"/>
      <w:bookmarkStart w:id="44" w:name="_Toc325636585"/>
      <w:r>
        <w:rPr>
          <w:rFonts w:hint="eastAsia" w:ascii="方正黑体_GBK" w:hAnsi="方正黑体_GBK" w:eastAsia="方正黑体_GBK" w:cs="方正黑体_GBK"/>
          <w:b/>
          <w:snapToGrid w:val="0"/>
          <w:kern w:val="0"/>
          <w:szCs w:val="24"/>
          <w:lang w:val="zh-CN"/>
        </w:rPr>
        <w:t>1.5 费用承担</w:t>
      </w:r>
      <w:bookmarkEnd w:id="39"/>
      <w:bookmarkEnd w:id="40"/>
      <w:bookmarkEnd w:id="41"/>
      <w:bookmarkEnd w:id="42"/>
      <w:bookmarkEnd w:id="43"/>
      <w:bookmarkEnd w:id="44"/>
    </w:p>
    <w:p>
      <w:pPr>
        <w:autoSpaceDE w:val="0"/>
        <w:autoSpaceDN w:val="0"/>
        <w:adjustRightInd w:val="0"/>
        <w:snapToGrid w:val="0"/>
        <w:spacing w:line="520" w:lineRule="exact"/>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不论投标结果如何，投标人应自行承担其准备和参加本投标活动所涉及的一切费用。</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45" w:name="_Toc200513133"/>
      <w:bookmarkStart w:id="46" w:name="_Toc334774170"/>
      <w:bookmarkStart w:id="47" w:name="_Toc317863428"/>
      <w:bookmarkStart w:id="48" w:name="_Toc325636586"/>
      <w:r>
        <w:rPr>
          <w:rFonts w:hint="eastAsia" w:ascii="方正黑体_GBK" w:hAnsi="方正黑体_GBK" w:eastAsia="方正黑体_GBK" w:cs="方正黑体_GBK"/>
          <w:b/>
          <w:snapToGrid w:val="0"/>
          <w:kern w:val="0"/>
          <w:szCs w:val="24"/>
          <w:lang w:val="zh-CN"/>
        </w:rPr>
        <w:t>1.6 保密</w:t>
      </w:r>
      <w:bookmarkEnd w:id="45"/>
      <w:bookmarkEnd w:id="46"/>
      <w:bookmarkEnd w:id="47"/>
      <w:bookmarkEnd w:id="48"/>
    </w:p>
    <w:p>
      <w:pPr>
        <w:autoSpaceDE w:val="0"/>
        <w:autoSpaceDN w:val="0"/>
        <w:adjustRightInd w:val="0"/>
        <w:snapToGrid w:val="0"/>
        <w:spacing w:line="520" w:lineRule="exact"/>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参与招标投标活动的各方应对招标文件和投标文件中的商业和技术等秘密保密，违者应对由此造成的后果承担法律责任。</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49" w:name="_Toc334774171"/>
      <w:bookmarkStart w:id="50" w:name="_Toc531594741"/>
      <w:bookmarkStart w:id="51" w:name="_Toc19952"/>
      <w:bookmarkStart w:id="52" w:name="_Toc317863429"/>
      <w:bookmarkStart w:id="53" w:name="_Toc200513134"/>
      <w:bookmarkStart w:id="54" w:name="_Toc325636587"/>
      <w:r>
        <w:rPr>
          <w:rFonts w:hint="eastAsia" w:ascii="方正黑体_GBK" w:hAnsi="方正黑体_GBK" w:eastAsia="方正黑体_GBK" w:cs="方正黑体_GBK"/>
          <w:b/>
          <w:snapToGrid w:val="0"/>
          <w:kern w:val="0"/>
          <w:szCs w:val="24"/>
          <w:lang w:val="zh-CN"/>
        </w:rPr>
        <w:t>1.7 语言文字</w:t>
      </w:r>
      <w:bookmarkEnd w:id="49"/>
      <w:bookmarkEnd w:id="50"/>
      <w:bookmarkEnd w:id="51"/>
      <w:bookmarkEnd w:id="52"/>
      <w:bookmarkEnd w:id="53"/>
      <w:bookmarkEnd w:id="54"/>
    </w:p>
    <w:p>
      <w:pPr>
        <w:autoSpaceDE w:val="0"/>
        <w:autoSpaceDN w:val="0"/>
        <w:adjustRightInd w:val="0"/>
        <w:snapToGrid w:val="0"/>
        <w:spacing w:line="520" w:lineRule="exact"/>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除专用术语外，与招标投标有关的语言均使用中文。必要时专用术语应附有中文注释。</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55" w:name="_Toc200513135"/>
      <w:bookmarkStart w:id="56" w:name="_Toc531594742"/>
      <w:bookmarkStart w:id="57" w:name="_Toc317863430"/>
      <w:bookmarkStart w:id="58" w:name="_Toc16650"/>
      <w:bookmarkStart w:id="59" w:name="_Toc325636588"/>
      <w:bookmarkStart w:id="60" w:name="_Toc334774172"/>
      <w:r>
        <w:rPr>
          <w:rFonts w:hint="eastAsia" w:ascii="方正黑体_GBK" w:hAnsi="方正黑体_GBK" w:eastAsia="方正黑体_GBK" w:cs="方正黑体_GBK"/>
          <w:b/>
          <w:snapToGrid w:val="0"/>
          <w:kern w:val="0"/>
          <w:szCs w:val="24"/>
          <w:lang w:val="zh-CN"/>
        </w:rPr>
        <w:t>1.8 计量单位</w:t>
      </w:r>
      <w:bookmarkEnd w:id="55"/>
      <w:bookmarkEnd w:id="56"/>
      <w:bookmarkEnd w:id="57"/>
      <w:bookmarkEnd w:id="58"/>
      <w:bookmarkEnd w:id="59"/>
      <w:bookmarkEnd w:id="60"/>
    </w:p>
    <w:p>
      <w:pPr>
        <w:autoSpaceDE w:val="0"/>
        <w:autoSpaceDN w:val="0"/>
        <w:adjustRightInd w:val="0"/>
        <w:snapToGrid w:val="0"/>
        <w:spacing w:line="520" w:lineRule="exact"/>
        <w:ind w:firstLine="565" w:firstLineChars="202"/>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所有计量均采用中华人民共和国法定计量单位。</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61" w:name="_Toc531594743"/>
      <w:bookmarkStart w:id="62" w:name="_Toc317863431"/>
      <w:bookmarkStart w:id="63" w:name="_Toc334774173"/>
      <w:bookmarkStart w:id="64" w:name="_Toc200513136"/>
      <w:bookmarkStart w:id="65" w:name="_Toc26520"/>
      <w:bookmarkStart w:id="66" w:name="_Toc325636589"/>
      <w:r>
        <w:rPr>
          <w:rFonts w:hint="eastAsia" w:ascii="方正黑体_GBK" w:hAnsi="方正黑体_GBK" w:eastAsia="方正黑体_GBK" w:cs="方正黑体_GBK"/>
          <w:b/>
          <w:snapToGrid w:val="0"/>
          <w:kern w:val="0"/>
          <w:szCs w:val="24"/>
          <w:lang w:val="zh-CN"/>
        </w:rPr>
        <w:t>1.9 踏勘现场</w:t>
      </w:r>
      <w:bookmarkEnd w:id="61"/>
      <w:bookmarkEnd w:id="62"/>
      <w:bookmarkEnd w:id="63"/>
      <w:bookmarkEnd w:id="64"/>
      <w:bookmarkEnd w:id="65"/>
      <w:bookmarkEnd w:id="66"/>
      <w:bookmarkStart w:id="67" w:name="_Toc531594744"/>
      <w:bookmarkStart w:id="68" w:name="_Toc317863432"/>
      <w:bookmarkStart w:id="69" w:name="_Toc200513137"/>
      <w:bookmarkStart w:id="70" w:name="_Toc334774174"/>
      <w:bookmarkStart w:id="71" w:name="_Toc325636590"/>
      <w:bookmarkStart w:id="72" w:name="_Toc11658"/>
    </w:p>
    <w:p>
      <w:pPr>
        <w:autoSpaceDE w:val="0"/>
        <w:autoSpaceDN w:val="0"/>
        <w:adjustRightInd w:val="0"/>
        <w:snapToGrid w:val="0"/>
        <w:spacing w:before="16" w:line="520" w:lineRule="exact"/>
        <w:ind w:firstLine="560" w:firstLineChars="200"/>
        <w:jc w:val="left"/>
        <w:outlineLvl w:val="2"/>
        <w:rPr>
          <w:rFonts w:ascii="仿宋" w:hAnsi="仿宋" w:eastAsia="仿宋" w:cs="仿宋"/>
          <w:b/>
          <w:snapToGrid w:val="0"/>
          <w:kern w:val="0"/>
          <w:sz w:val="28"/>
          <w:szCs w:val="28"/>
        </w:rPr>
      </w:pPr>
      <w:r>
        <w:rPr>
          <w:rFonts w:hint="eastAsia" w:ascii="仿宋" w:hAnsi="仿宋" w:eastAsia="仿宋" w:cs="仿宋"/>
          <w:bCs/>
          <w:snapToGrid w:val="0"/>
          <w:kern w:val="0"/>
          <w:sz w:val="28"/>
          <w:szCs w:val="28"/>
        </w:rPr>
        <w:t>否。</w:t>
      </w:r>
      <w:bookmarkEnd w:id="67"/>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73" w:name="_Toc531594745"/>
      <w:r>
        <w:rPr>
          <w:rFonts w:hint="eastAsia" w:ascii="方正黑体_GBK" w:hAnsi="方正黑体_GBK" w:eastAsia="方正黑体_GBK" w:cs="方正黑体_GBK"/>
          <w:b/>
          <w:snapToGrid w:val="0"/>
          <w:kern w:val="0"/>
          <w:szCs w:val="24"/>
          <w:lang w:val="zh-CN"/>
        </w:rPr>
        <w:t>1.10 投标预备会</w:t>
      </w:r>
      <w:bookmarkEnd w:id="68"/>
      <w:bookmarkEnd w:id="69"/>
      <w:bookmarkEnd w:id="70"/>
      <w:bookmarkEnd w:id="71"/>
      <w:bookmarkEnd w:id="72"/>
      <w:bookmarkEnd w:id="73"/>
    </w:p>
    <w:p>
      <w:pPr>
        <w:autoSpaceDE w:val="0"/>
        <w:autoSpaceDN w:val="0"/>
        <w:adjustRightInd w:val="0"/>
        <w:snapToGrid w:val="0"/>
        <w:spacing w:line="520" w:lineRule="exact"/>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本项目不组织投标预备会。</w:t>
      </w:r>
      <w:bookmarkStart w:id="74" w:name="_Toc200513139"/>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75" w:name="_Toc325636593"/>
      <w:bookmarkStart w:id="76" w:name="_Toc334774176"/>
      <w:bookmarkStart w:id="77" w:name="_Toc317863435"/>
      <w:bookmarkStart w:id="78" w:name="_Toc19903"/>
      <w:bookmarkStart w:id="79" w:name="_Toc531594746"/>
      <w:r>
        <w:rPr>
          <w:rFonts w:hint="eastAsia" w:ascii="方正黑体_GBK" w:hAnsi="方正黑体_GBK" w:eastAsia="方正黑体_GBK" w:cs="方正黑体_GBK"/>
          <w:b/>
          <w:snapToGrid w:val="0"/>
          <w:kern w:val="0"/>
          <w:szCs w:val="24"/>
          <w:lang w:val="zh-CN"/>
        </w:rPr>
        <w:t>1.11 偏离</w:t>
      </w:r>
      <w:bookmarkEnd w:id="74"/>
      <w:bookmarkEnd w:id="75"/>
      <w:bookmarkEnd w:id="76"/>
      <w:bookmarkEnd w:id="77"/>
      <w:bookmarkEnd w:id="78"/>
      <w:bookmarkEnd w:id="79"/>
    </w:p>
    <w:p>
      <w:pPr>
        <w:autoSpaceDE w:val="0"/>
        <w:autoSpaceDN w:val="0"/>
        <w:adjustRightInd w:val="0"/>
        <w:snapToGrid w:val="0"/>
        <w:spacing w:line="520" w:lineRule="exact"/>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投标人需知前附表允许投标文件偏离招标文件某些要求的，偏离应当符合招标文件规定的偏离范围和幅度。</w:t>
      </w:r>
    </w:p>
    <w:p>
      <w:pPr>
        <w:autoSpaceDE w:val="0"/>
        <w:autoSpaceDN w:val="0"/>
        <w:adjustRightInd w:val="0"/>
        <w:snapToGrid w:val="0"/>
        <w:spacing w:line="520" w:lineRule="exact"/>
        <w:jc w:val="left"/>
        <w:outlineLvl w:val="1"/>
        <w:rPr>
          <w:rFonts w:ascii="方正黑体_GBK" w:hAnsi="方正黑体_GBK" w:eastAsia="方正黑体_GBK" w:cs="方正黑体_GBK"/>
          <w:b/>
          <w:snapToGrid w:val="0"/>
          <w:w w:val="99"/>
          <w:kern w:val="0"/>
          <w:sz w:val="28"/>
          <w:szCs w:val="28"/>
          <w:lang w:val="zh-CN"/>
        </w:rPr>
      </w:pPr>
      <w:bookmarkStart w:id="80" w:name="_Toc334774177"/>
      <w:bookmarkStart w:id="81" w:name="_Toc778"/>
      <w:bookmarkStart w:id="82" w:name="_Toc531594747"/>
      <w:bookmarkStart w:id="83" w:name="_Toc317863436"/>
      <w:bookmarkStart w:id="84" w:name="_Toc200513140"/>
      <w:r>
        <w:rPr>
          <w:rFonts w:hint="eastAsia" w:ascii="方正黑体_GBK" w:hAnsi="方正黑体_GBK" w:eastAsia="方正黑体_GBK" w:cs="方正黑体_GBK"/>
          <w:b/>
          <w:snapToGrid w:val="0"/>
          <w:w w:val="99"/>
          <w:kern w:val="0"/>
          <w:sz w:val="28"/>
          <w:szCs w:val="28"/>
          <w:lang w:val="zh-CN"/>
        </w:rPr>
        <w:t>2.招标文件</w:t>
      </w:r>
      <w:bookmarkEnd w:id="80"/>
      <w:bookmarkEnd w:id="81"/>
      <w:bookmarkEnd w:id="82"/>
      <w:bookmarkEnd w:id="83"/>
      <w:bookmarkEnd w:id="84"/>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85" w:name="_Toc32194"/>
      <w:bookmarkStart w:id="86" w:name="_Toc325636595"/>
      <w:bookmarkStart w:id="87" w:name="_Toc334774178"/>
      <w:bookmarkStart w:id="88" w:name="_Toc200513141"/>
      <w:bookmarkStart w:id="89" w:name="_Toc531594748"/>
      <w:bookmarkStart w:id="90" w:name="_Toc317863437"/>
      <w:r>
        <w:rPr>
          <w:rFonts w:hint="eastAsia" w:ascii="方正黑体_GBK" w:hAnsi="方正黑体_GBK" w:eastAsia="方正黑体_GBK" w:cs="方正黑体_GBK"/>
          <w:b/>
          <w:snapToGrid w:val="0"/>
          <w:kern w:val="0"/>
          <w:szCs w:val="24"/>
          <w:lang w:val="zh-CN"/>
        </w:rPr>
        <w:t>2.1 招标文件的组成</w:t>
      </w:r>
      <w:bookmarkEnd w:id="85"/>
      <w:bookmarkEnd w:id="86"/>
      <w:bookmarkEnd w:id="87"/>
      <w:bookmarkEnd w:id="88"/>
      <w:bookmarkEnd w:id="89"/>
      <w:bookmarkEnd w:id="90"/>
    </w:p>
    <w:p>
      <w:pPr>
        <w:autoSpaceDE w:val="0"/>
        <w:autoSpaceDN w:val="0"/>
        <w:adjustRightInd w:val="0"/>
        <w:snapToGrid w:val="0"/>
        <w:spacing w:line="520" w:lineRule="exact"/>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本招标文件包括：</w:t>
      </w:r>
    </w:p>
    <w:p>
      <w:pPr>
        <w:autoSpaceDE w:val="0"/>
        <w:autoSpaceDN w:val="0"/>
        <w:adjustRightInd w:val="0"/>
        <w:snapToGrid w:val="0"/>
        <w:spacing w:line="520" w:lineRule="exact"/>
        <w:ind w:left="410" w:leftChars="171"/>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（1）招标公告；</w:t>
      </w:r>
    </w:p>
    <w:p>
      <w:pPr>
        <w:autoSpaceDE w:val="0"/>
        <w:autoSpaceDN w:val="0"/>
        <w:adjustRightInd w:val="0"/>
        <w:snapToGrid w:val="0"/>
        <w:spacing w:line="520" w:lineRule="exact"/>
        <w:ind w:left="410" w:leftChars="171"/>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（2）投标人须知；</w:t>
      </w:r>
    </w:p>
    <w:p>
      <w:pPr>
        <w:autoSpaceDE w:val="0"/>
        <w:autoSpaceDN w:val="0"/>
        <w:adjustRightInd w:val="0"/>
        <w:snapToGrid w:val="0"/>
        <w:spacing w:line="520" w:lineRule="exact"/>
        <w:ind w:left="410" w:leftChars="171"/>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（3）评标办法；</w:t>
      </w:r>
    </w:p>
    <w:p>
      <w:pPr>
        <w:autoSpaceDE w:val="0"/>
        <w:autoSpaceDN w:val="0"/>
        <w:adjustRightInd w:val="0"/>
        <w:snapToGrid w:val="0"/>
        <w:spacing w:line="520" w:lineRule="exact"/>
        <w:ind w:left="410" w:leftChars="171"/>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（4）技术标准和要求；</w:t>
      </w:r>
    </w:p>
    <w:p>
      <w:pPr>
        <w:autoSpaceDE w:val="0"/>
        <w:autoSpaceDN w:val="0"/>
        <w:adjustRightInd w:val="0"/>
        <w:snapToGrid w:val="0"/>
        <w:spacing w:line="520" w:lineRule="exact"/>
        <w:ind w:left="410" w:leftChars="171"/>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（5）投标文件格式；</w:t>
      </w:r>
    </w:p>
    <w:p>
      <w:pPr>
        <w:autoSpaceDE w:val="0"/>
        <w:autoSpaceDN w:val="0"/>
        <w:adjustRightInd w:val="0"/>
        <w:snapToGrid w:val="0"/>
        <w:spacing w:line="520" w:lineRule="exact"/>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根据本章第1.10款、第2.2款和第2.3款对招标文件所作的澄清、修改，构成招标文件的组成部分。</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91" w:name="_Toc334774179"/>
      <w:bookmarkStart w:id="92" w:name="_Toc200513142"/>
      <w:bookmarkStart w:id="93" w:name="_Toc325636596"/>
      <w:bookmarkStart w:id="94" w:name="_Toc317863438"/>
      <w:bookmarkStart w:id="95" w:name="_Toc531594749"/>
      <w:bookmarkStart w:id="96" w:name="_Toc13635"/>
      <w:r>
        <w:rPr>
          <w:rFonts w:hint="eastAsia" w:ascii="方正黑体_GBK" w:hAnsi="方正黑体_GBK" w:eastAsia="方正黑体_GBK" w:cs="方正黑体_GBK"/>
          <w:b/>
          <w:snapToGrid w:val="0"/>
          <w:kern w:val="0"/>
          <w:szCs w:val="24"/>
          <w:lang w:val="zh-CN"/>
        </w:rPr>
        <w:t xml:space="preserve">2.2 </w:t>
      </w:r>
      <w:bookmarkEnd w:id="91"/>
      <w:bookmarkEnd w:id="92"/>
      <w:bookmarkEnd w:id="93"/>
      <w:bookmarkEnd w:id="94"/>
      <w:bookmarkStart w:id="97" w:name="_Toc334774180"/>
      <w:bookmarkStart w:id="98" w:name="_Toc317863439"/>
      <w:bookmarkStart w:id="99" w:name="_Toc200513143"/>
      <w:bookmarkStart w:id="100" w:name="_Toc325636597"/>
      <w:r>
        <w:rPr>
          <w:rFonts w:hint="eastAsia" w:ascii="方正黑体_GBK" w:hAnsi="方正黑体_GBK" w:eastAsia="方正黑体_GBK" w:cs="方正黑体_GBK"/>
          <w:b/>
          <w:snapToGrid w:val="0"/>
          <w:kern w:val="0"/>
          <w:szCs w:val="24"/>
          <w:lang w:val="zh-CN"/>
        </w:rPr>
        <w:t>对招标文件的疑问</w:t>
      </w:r>
      <w:bookmarkEnd w:id="95"/>
      <w:bookmarkEnd w:id="96"/>
    </w:p>
    <w:p>
      <w:pPr>
        <w:autoSpaceDE w:val="0"/>
        <w:autoSpaceDN w:val="0"/>
        <w:adjustRightInd w:val="0"/>
        <w:snapToGrid w:val="0"/>
        <w:spacing w:line="520" w:lineRule="exact"/>
        <w:rPr>
          <w:rFonts w:ascii="仿宋" w:hAnsi="仿宋" w:eastAsia="仿宋" w:cs="仿宋"/>
          <w:snapToGrid w:val="0"/>
          <w:kern w:val="0"/>
          <w:sz w:val="28"/>
          <w:szCs w:val="28"/>
        </w:rPr>
      </w:pPr>
      <w:r>
        <w:rPr>
          <w:rFonts w:hint="eastAsia" w:ascii="仿宋" w:hAnsi="仿宋" w:eastAsia="仿宋" w:cs="仿宋"/>
          <w:snapToGrid w:val="0"/>
          <w:kern w:val="0"/>
          <w:sz w:val="28"/>
          <w:szCs w:val="28"/>
        </w:rPr>
        <w:t>2.2.1  投标人应仔细阅读和检查下载的招标文件的全部内容。如发现缺页或附件不全，应及时向招标人提出，以便补齐。如有疑问，应在</w:t>
      </w:r>
      <w:r>
        <w:rPr>
          <w:rFonts w:hint="eastAsia" w:ascii="仿宋" w:hAnsi="仿宋" w:eastAsia="仿宋" w:cs="仿宋"/>
          <w:b/>
          <w:snapToGrid w:val="0"/>
          <w:kern w:val="0"/>
          <w:sz w:val="28"/>
          <w:szCs w:val="28"/>
          <w:u w:val="single"/>
        </w:rPr>
        <w:t>投标人须知前附表</w:t>
      </w:r>
      <w:r>
        <w:rPr>
          <w:rFonts w:hint="eastAsia" w:ascii="仿宋" w:hAnsi="仿宋" w:eastAsia="仿宋" w:cs="仿宋"/>
          <w:snapToGrid w:val="0"/>
          <w:kern w:val="0"/>
          <w:sz w:val="28"/>
          <w:szCs w:val="28"/>
        </w:rPr>
        <w:t>规定的形式和时间前，</w:t>
      </w:r>
      <w:r>
        <w:rPr>
          <w:rFonts w:hint="eastAsia" w:ascii="仿宋" w:hAnsi="仿宋" w:eastAsia="仿宋" w:cs="仿宋"/>
          <w:sz w:val="28"/>
          <w:szCs w:val="28"/>
        </w:rPr>
        <w:t>通知并</w:t>
      </w:r>
      <w:r>
        <w:rPr>
          <w:rFonts w:hint="eastAsia" w:ascii="仿宋" w:hAnsi="仿宋" w:eastAsia="仿宋" w:cs="仿宋"/>
          <w:snapToGrid w:val="0"/>
          <w:kern w:val="0"/>
          <w:sz w:val="28"/>
          <w:szCs w:val="28"/>
        </w:rPr>
        <w:t>要求招标人对招标文件予以澄清。</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101" w:name="_Toc29041"/>
      <w:bookmarkStart w:id="102" w:name="_Toc531594750"/>
      <w:r>
        <w:rPr>
          <w:rFonts w:hint="eastAsia" w:ascii="方正黑体_GBK" w:hAnsi="方正黑体_GBK" w:eastAsia="方正黑体_GBK" w:cs="方正黑体_GBK"/>
          <w:b/>
          <w:snapToGrid w:val="0"/>
          <w:kern w:val="0"/>
          <w:szCs w:val="24"/>
          <w:lang w:val="zh-CN"/>
        </w:rPr>
        <w:t xml:space="preserve">2.3 </w:t>
      </w:r>
      <w:bookmarkEnd w:id="97"/>
      <w:bookmarkEnd w:id="98"/>
      <w:bookmarkEnd w:id="99"/>
      <w:bookmarkEnd w:id="100"/>
      <w:bookmarkStart w:id="103" w:name="_Toc317863440"/>
      <w:bookmarkStart w:id="104" w:name="_Toc334774181"/>
      <w:bookmarkStart w:id="105" w:name="_Toc200513144"/>
      <w:r>
        <w:rPr>
          <w:rFonts w:hint="eastAsia" w:ascii="方正黑体_GBK" w:hAnsi="方正黑体_GBK" w:eastAsia="方正黑体_GBK" w:cs="方正黑体_GBK"/>
          <w:b/>
          <w:snapToGrid w:val="0"/>
          <w:kern w:val="0"/>
          <w:szCs w:val="24"/>
          <w:lang w:val="zh-CN"/>
        </w:rPr>
        <w:t>招标文件的澄清、修改和答疑</w:t>
      </w:r>
      <w:bookmarkEnd w:id="101"/>
      <w:bookmarkEnd w:id="102"/>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2.3.1 投标人如果有疑问，招标人以须知前附表规定的形式对招标文件澄清、修改和答疑，在</w:t>
      </w:r>
      <w:r>
        <w:rPr>
          <w:rFonts w:hint="eastAsia" w:ascii="仿宋" w:hAnsi="仿宋" w:eastAsia="仿宋" w:cs="仿宋"/>
          <w:sz w:val="28"/>
          <w:szCs w:val="28"/>
        </w:rPr>
        <w:t>重财经学院校园（http://www.cfec.edu.cn）</w:t>
      </w:r>
      <w:r>
        <w:rPr>
          <w:rFonts w:hint="eastAsia" w:ascii="仿宋" w:hAnsi="仿宋" w:eastAsia="仿宋" w:cs="仿宋"/>
          <w:snapToGrid w:val="0"/>
          <w:sz w:val="28"/>
          <w:szCs w:val="28"/>
        </w:rPr>
        <w:t>发出</w:t>
      </w:r>
      <w:r>
        <w:rPr>
          <w:rFonts w:hint="eastAsia" w:ascii="仿宋" w:hAnsi="仿宋" w:eastAsia="仿宋" w:cs="仿宋"/>
          <w:snapToGrid w:val="0"/>
          <w:kern w:val="0"/>
          <w:sz w:val="28"/>
          <w:szCs w:val="28"/>
        </w:rPr>
        <w:t>通知或答疑通知；投标人应时刻在网上相应地方查寻通知、修改、答疑等信息，如果投标人疏忽大意，其后果自负。如果澄清、修改和答疑的时间距投标截止时间不足1天，经有关部门同意后通知相应延长投标截止时间。</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2.3.2 投标人网上收到答疑、修改通知后，应按照内容执行，不必确认已收到该修改。</w:t>
      </w:r>
    </w:p>
    <w:p>
      <w:pPr>
        <w:autoSpaceDE w:val="0"/>
        <w:autoSpaceDN w:val="0"/>
        <w:adjustRightInd w:val="0"/>
        <w:snapToGrid w:val="0"/>
        <w:spacing w:line="520" w:lineRule="exact"/>
        <w:jc w:val="left"/>
        <w:outlineLvl w:val="1"/>
        <w:rPr>
          <w:rFonts w:ascii="方正黑体_GBK" w:hAnsi="方正黑体_GBK" w:eastAsia="方正黑体_GBK" w:cs="方正黑体_GBK"/>
          <w:b/>
          <w:snapToGrid w:val="0"/>
          <w:w w:val="99"/>
          <w:kern w:val="0"/>
          <w:sz w:val="28"/>
          <w:szCs w:val="28"/>
          <w:lang w:val="zh-CN"/>
        </w:rPr>
      </w:pPr>
      <w:bookmarkStart w:id="106" w:name="_Toc18374"/>
      <w:bookmarkStart w:id="107" w:name="_Toc531594751"/>
      <w:r>
        <w:rPr>
          <w:rFonts w:hint="eastAsia" w:ascii="方正黑体_GBK" w:hAnsi="方正黑体_GBK" w:eastAsia="方正黑体_GBK" w:cs="方正黑体_GBK"/>
          <w:b/>
          <w:snapToGrid w:val="0"/>
          <w:w w:val="99"/>
          <w:kern w:val="0"/>
          <w:sz w:val="28"/>
          <w:szCs w:val="28"/>
          <w:lang w:val="zh-CN"/>
        </w:rPr>
        <w:t>3.投标文件</w:t>
      </w:r>
      <w:bookmarkEnd w:id="103"/>
      <w:bookmarkEnd w:id="104"/>
      <w:bookmarkEnd w:id="105"/>
      <w:bookmarkEnd w:id="106"/>
      <w:bookmarkEnd w:id="107"/>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108" w:name="_Toc317863441"/>
      <w:bookmarkStart w:id="109" w:name="_Toc19286"/>
      <w:bookmarkStart w:id="110" w:name="_Toc325636599"/>
      <w:bookmarkStart w:id="111" w:name="_Toc531594752"/>
      <w:bookmarkStart w:id="112" w:name="_Toc334774182"/>
      <w:bookmarkStart w:id="113" w:name="_Toc200513145"/>
      <w:r>
        <w:rPr>
          <w:rFonts w:hint="eastAsia" w:ascii="方正黑体_GBK" w:hAnsi="方正黑体_GBK" w:eastAsia="方正黑体_GBK" w:cs="方正黑体_GBK"/>
          <w:b/>
          <w:snapToGrid w:val="0"/>
          <w:kern w:val="0"/>
          <w:szCs w:val="24"/>
          <w:lang w:val="zh-CN"/>
        </w:rPr>
        <w:t>3.1 投标文件的组成</w:t>
      </w:r>
      <w:bookmarkEnd w:id="108"/>
      <w:bookmarkEnd w:id="109"/>
      <w:bookmarkEnd w:id="110"/>
      <w:bookmarkEnd w:id="111"/>
      <w:bookmarkEnd w:id="112"/>
      <w:bookmarkEnd w:id="113"/>
    </w:p>
    <w:p>
      <w:pPr>
        <w:spacing w:line="520" w:lineRule="exact"/>
        <w:jc w:val="left"/>
        <w:rPr>
          <w:rFonts w:ascii="仿宋" w:hAnsi="仿宋" w:eastAsia="仿宋" w:cs="仿宋"/>
          <w:snapToGrid w:val="0"/>
          <w:kern w:val="0"/>
          <w:sz w:val="28"/>
          <w:szCs w:val="28"/>
        </w:rPr>
      </w:pPr>
      <w:bookmarkStart w:id="114" w:name="_Toc200513146"/>
      <w:bookmarkStart w:id="115" w:name="_Toc531594753"/>
      <w:bookmarkStart w:id="116" w:name="_Toc325636600"/>
      <w:bookmarkStart w:id="117" w:name="_Toc334774183"/>
      <w:bookmarkStart w:id="118" w:name="_Toc317863442"/>
      <w:bookmarkStart w:id="119" w:name="_Toc30567"/>
      <w:r>
        <w:rPr>
          <w:rFonts w:hint="eastAsia" w:ascii="仿宋" w:hAnsi="仿宋" w:eastAsia="仿宋" w:cs="仿宋"/>
          <w:snapToGrid w:val="0"/>
          <w:kern w:val="0"/>
          <w:sz w:val="28"/>
          <w:szCs w:val="28"/>
        </w:rPr>
        <w:t>3.1.1 投标函</w:t>
      </w:r>
    </w:p>
    <w:p>
      <w:pPr>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3.1.2 法定代表人身份证明及授权委托书</w:t>
      </w:r>
    </w:p>
    <w:p>
      <w:pPr>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3.1.3 投标人基本情况表</w:t>
      </w:r>
    </w:p>
    <w:p>
      <w:pPr>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3.1.4 折扣报价</w:t>
      </w:r>
    </w:p>
    <w:p>
      <w:pPr>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3.1.5 相关资质证明及承诺</w:t>
      </w:r>
    </w:p>
    <w:p>
      <w:pPr>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3.1.6 售后服务</w:t>
      </w:r>
    </w:p>
    <w:p>
      <w:pPr>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3.1.7 投标业绩一览表</w:t>
      </w:r>
    </w:p>
    <w:p>
      <w:pPr>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 xml:space="preserve">3.1.8 </w:t>
      </w:r>
      <w:r>
        <w:rPr>
          <w:rFonts w:hint="eastAsia" w:ascii="仿宋" w:hAnsi="仿宋" w:eastAsia="仿宋" w:cs="仿宋"/>
          <w:sz w:val="28"/>
          <w:szCs w:val="28"/>
        </w:rPr>
        <w:t>近三年财务报表</w:t>
      </w:r>
    </w:p>
    <w:p>
      <w:pPr>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3.1.9 承诺函</w:t>
      </w:r>
    </w:p>
    <w:p>
      <w:pPr>
        <w:autoSpaceDE w:val="0"/>
        <w:autoSpaceDN w:val="0"/>
        <w:adjustRightInd w:val="0"/>
        <w:snapToGrid w:val="0"/>
        <w:spacing w:before="16" w:line="520" w:lineRule="exact"/>
        <w:jc w:val="left"/>
        <w:outlineLvl w:val="2"/>
        <w:rPr>
          <w:rFonts w:ascii="仿宋" w:hAnsi="仿宋" w:eastAsia="仿宋" w:cs="仿宋"/>
          <w:snapToGrid w:val="0"/>
          <w:kern w:val="0"/>
          <w:sz w:val="28"/>
          <w:szCs w:val="28"/>
        </w:rPr>
      </w:pPr>
      <w:r>
        <w:rPr>
          <w:rFonts w:hint="eastAsia" w:ascii="仿宋" w:hAnsi="仿宋" w:eastAsia="仿宋" w:cs="仿宋"/>
          <w:snapToGrid w:val="0"/>
          <w:kern w:val="0"/>
          <w:sz w:val="28"/>
          <w:szCs w:val="28"/>
        </w:rPr>
        <w:t>3.1.10 其他</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r>
        <w:rPr>
          <w:rFonts w:hint="eastAsia" w:ascii="方正黑体_GBK" w:hAnsi="方正黑体_GBK" w:eastAsia="方正黑体_GBK" w:cs="方正黑体_GBK"/>
          <w:b/>
          <w:snapToGrid w:val="0"/>
          <w:kern w:val="0"/>
          <w:szCs w:val="24"/>
          <w:lang w:val="zh-CN"/>
        </w:rPr>
        <w:t>3.2 投标报价</w:t>
      </w:r>
      <w:bookmarkEnd w:id="114"/>
      <w:bookmarkEnd w:id="115"/>
      <w:bookmarkEnd w:id="116"/>
      <w:bookmarkEnd w:id="117"/>
      <w:bookmarkEnd w:id="118"/>
      <w:bookmarkEnd w:id="119"/>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3.2.1 投标人应按投标人须知前附表及其相关规定填报。</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120" w:name="_Toc325636601"/>
      <w:bookmarkStart w:id="121" w:name="_Toc531594754"/>
      <w:bookmarkStart w:id="122" w:name="_Toc12196"/>
      <w:bookmarkStart w:id="123" w:name="_Toc200513147"/>
      <w:bookmarkStart w:id="124" w:name="_Toc334774184"/>
      <w:bookmarkStart w:id="125" w:name="_Toc317863443"/>
      <w:r>
        <w:rPr>
          <w:rFonts w:hint="eastAsia" w:ascii="方正黑体_GBK" w:hAnsi="方正黑体_GBK" w:eastAsia="方正黑体_GBK" w:cs="方正黑体_GBK"/>
          <w:b/>
          <w:snapToGrid w:val="0"/>
          <w:kern w:val="0"/>
          <w:szCs w:val="24"/>
          <w:lang w:val="zh-CN"/>
        </w:rPr>
        <w:t>3.3 投标有效期</w:t>
      </w:r>
      <w:bookmarkEnd w:id="120"/>
      <w:bookmarkEnd w:id="121"/>
      <w:bookmarkEnd w:id="122"/>
      <w:bookmarkEnd w:id="123"/>
      <w:bookmarkEnd w:id="124"/>
      <w:bookmarkEnd w:id="125"/>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3.3.1 在投标人须知前附表规定的投标有效期内，投标人不得要求撤销或修改其投标文件。</w:t>
      </w:r>
    </w:p>
    <w:p>
      <w:pPr>
        <w:autoSpaceDE w:val="0"/>
        <w:autoSpaceDN w:val="0"/>
        <w:adjustRightInd w:val="0"/>
        <w:snapToGrid w:val="0"/>
        <w:spacing w:line="520" w:lineRule="exact"/>
        <w:rPr>
          <w:rFonts w:ascii="仿宋" w:hAnsi="仿宋" w:eastAsia="仿宋" w:cs="仿宋"/>
          <w:snapToGrid w:val="0"/>
          <w:kern w:val="0"/>
          <w:sz w:val="28"/>
          <w:szCs w:val="28"/>
        </w:rPr>
      </w:pPr>
      <w:r>
        <w:rPr>
          <w:rFonts w:hint="eastAsia" w:ascii="仿宋" w:hAnsi="仿宋" w:eastAsia="仿宋" w:cs="仿宋"/>
          <w:snapToGrid w:val="0"/>
          <w:kern w:val="0"/>
          <w:sz w:val="28"/>
          <w:szCs w:val="28"/>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126" w:name="_Toc317863444"/>
      <w:bookmarkStart w:id="127" w:name="_Toc28560"/>
      <w:bookmarkStart w:id="128" w:name="_Toc325636602"/>
      <w:bookmarkStart w:id="129" w:name="_Toc531594755"/>
      <w:bookmarkStart w:id="130" w:name="_Toc200513148"/>
      <w:bookmarkStart w:id="131" w:name="_Toc334774185"/>
      <w:r>
        <w:rPr>
          <w:rFonts w:hint="eastAsia" w:ascii="方正黑体_GBK" w:hAnsi="方正黑体_GBK" w:eastAsia="方正黑体_GBK" w:cs="方正黑体_GBK"/>
          <w:b/>
          <w:snapToGrid w:val="0"/>
          <w:kern w:val="0"/>
          <w:szCs w:val="24"/>
          <w:lang w:val="zh-CN"/>
        </w:rPr>
        <w:t>3.4 投标保证金</w:t>
      </w:r>
      <w:bookmarkEnd w:id="126"/>
      <w:bookmarkEnd w:id="127"/>
      <w:bookmarkEnd w:id="128"/>
      <w:bookmarkEnd w:id="129"/>
      <w:bookmarkEnd w:id="130"/>
      <w:bookmarkEnd w:id="131"/>
    </w:p>
    <w:p>
      <w:pPr>
        <w:autoSpaceDE w:val="0"/>
        <w:autoSpaceDN w:val="0"/>
        <w:adjustRightInd w:val="0"/>
        <w:snapToGrid w:val="0"/>
        <w:spacing w:line="520" w:lineRule="exact"/>
        <w:rPr>
          <w:rFonts w:ascii="仿宋" w:hAnsi="仿宋" w:eastAsia="仿宋" w:cs="仿宋"/>
          <w:snapToGrid w:val="0"/>
          <w:kern w:val="0"/>
          <w:sz w:val="28"/>
          <w:szCs w:val="28"/>
        </w:rPr>
      </w:pPr>
      <w:r>
        <w:rPr>
          <w:rFonts w:hint="eastAsia" w:ascii="仿宋" w:hAnsi="仿宋" w:eastAsia="仿宋" w:cs="仿宋"/>
          <w:snapToGrid w:val="0"/>
          <w:kern w:val="0"/>
          <w:sz w:val="28"/>
          <w:szCs w:val="28"/>
        </w:rPr>
        <w:t>3.4.1 投标人在递交投标文件的同时，应按“投标人须知前附表”规定的金额、形式缴纳投标保证金，并作为其投标文件的组成部分。</w:t>
      </w:r>
    </w:p>
    <w:p>
      <w:pPr>
        <w:autoSpaceDE w:val="0"/>
        <w:autoSpaceDN w:val="0"/>
        <w:adjustRightInd w:val="0"/>
        <w:snapToGrid w:val="0"/>
        <w:spacing w:line="520" w:lineRule="exact"/>
        <w:jc w:val="left"/>
        <w:rPr>
          <w:rFonts w:ascii="仿宋" w:hAnsi="仿宋" w:eastAsia="仿宋" w:cs="仿宋"/>
          <w:b/>
          <w:bCs/>
          <w:snapToGrid w:val="0"/>
          <w:kern w:val="0"/>
          <w:sz w:val="28"/>
          <w:szCs w:val="28"/>
        </w:rPr>
      </w:pPr>
      <w:r>
        <w:rPr>
          <w:rFonts w:hint="eastAsia" w:ascii="仿宋" w:hAnsi="仿宋" w:eastAsia="仿宋" w:cs="仿宋"/>
          <w:snapToGrid w:val="0"/>
          <w:kern w:val="0"/>
          <w:sz w:val="28"/>
          <w:szCs w:val="28"/>
        </w:rPr>
        <w:t xml:space="preserve">3.4.2 </w:t>
      </w:r>
      <w:r>
        <w:rPr>
          <w:rFonts w:hint="eastAsia" w:ascii="仿宋" w:hAnsi="仿宋" w:eastAsia="仿宋" w:cs="仿宋"/>
          <w:b/>
          <w:bCs/>
          <w:snapToGrid w:val="0"/>
          <w:kern w:val="0"/>
          <w:sz w:val="28"/>
          <w:szCs w:val="28"/>
        </w:rPr>
        <w:t>投标人不按本章第 3.4.1 项要求提交投标保证金的，其投标文件作废标处理。</w:t>
      </w:r>
    </w:p>
    <w:p>
      <w:pPr>
        <w:autoSpaceDE w:val="0"/>
        <w:autoSpaceDN w:val="0"/>
        <w:adjustRightInd w:val="0"/>
        <w:snapToGrid w:val="0"/>
        <w:spacing w:line="520" w:lineRule="exact"/>
        <w:jc w:val="left"/>
        <w:rPr>
          <w:rFonts w:ascii="仿宋" w:hAnsi="仿宋" w:eastAsia="仿宋" w:cs="仿宋"/>
          <w:sz w:val="28"/>
          <w:szCs w:val="28"/>
        </w:rPr>
      </w:pPr>
      <w:r>
        <w:rPr>
          <w:rFonts w:hint="eastAsia" w:ascii="仿宋" w:hAnsi="仿宋" w:eastAsia="仿宋" w:cs="仿宋"/>
          <w:snapToGrid w:val="0"/>
          <w:kern w:val="0"/>
          <w:sz w:val="28"/>
          <w:szCs w:val="28"/>
        </w:rPr>
        <w:t xml:space="preserve">3.4.3 </w:t>
      </w:r>
      <w:r>
        <w:rPr>
          <w:rFonts w:hint="eastAsia" w:ascii="仿宋" w:hAnsi="仿宋" w:eastAsia="仿宋" w:cs="仿宋"/>
          <w:sz w:val="28"/>
          <w:szCs w:val="28"/>
        </w:rPr>
        <w:t>招标人发出中标通知书后15个工作日内，学院退还未列入中标候选人的投标保证金（不计息），招标人与中标人签订合同后10个工作日内，学院向其他中标候选人退还投标保证金（不计息）。</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3.4.4 有下列情形之一的，投标保证金将不予退还：</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3.4.4.1 投标人在规定的投标有效期内撤销或修改其投标文件；</w:t>
      </w:r>
    </w:p>
    <w:p>
      <w:pPr>
        <w:autoSpaceDE w:val="0"/>
        <w:autoSpaceDN w:val="0"/>
        <w:adjustRightInd w:val="0"/>
        <w:snapToGrid w:val="0"/>
        <w:spacing w:line="520" w:lineRule="exact"/>
        <w:jc w:val="left"/>
        <w:rPr>
          <w:rFonts w:ascii="仿宋" w:hAnsi="仿宋" w:eastAsia="仿宋" w:cs="仿宋"/>
          <w:sz w:val="28"/>
          <w:szCs w:val="28"/>
        </w:rPr>
      </w:pPr>
      <w:bookmarkStart w:id="132" w:name="_Toc325636603"/>
      <w:bookmarkStart w:id="133" w:name="_Toc200513150"/>
      <w:bookmarkStart w:id="134" w:name="_Toc334774186"/>
      <w:bookmarkStart w:id="135" w:name="_Toc23569"/>
      <w:bookmarkStart w:id="136" w:name="_Toc317863445"/>
      <w:r>
        <w:rPr>
          <w:rFonts w:hint="eastAsia" w:ascii="仿宋" w:hAnsi="仿宋" w:eastAsia="仿宋" w:cs="仿宋"/>
          <w:snapToGrid w:val="0"/>
          <w:kern w:val="0"/>
          <w:sz w:val="28"/>
          <w:szCs w:val="28"/>
        </w:rPr>
        <w:t xml:space="preserve">3.4.4.2 </w:t>
      </w:r>
      <w:r>
        <w:rPr>
          <w:rFonts w:hint="eastAsia" w:ascii="仿宋" w:hAnsi="仿宋" w:eastAsia="仿宋" w:cs="仿宋"/>
          <w:sz w:val="28"/>
          <w:szCs w:val="28"/>
        </w:rPr>
        <w:t>中标人在中标通知书发出3日之内拒绝签订合同，其保证金将不予退还。</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r>
        <w:rPr>
          <w:rFonts w:hint="eastAsia" w:ascii="方正黑体_GBK" w:hAnsi="方正黑体_GBK" w:eastAsia="方正黑体_GBK" w:cs="方正黑体_GBK"/>
          <w:b/>
          <w:snapToGrid w:val="0"/>
          <w:kern w:val="0"/>
          <w:szCs w:val="24"/>
          <w:lang w:val="zh-CN"/>
        </w:rPr>
        <w:t>3.5 资格审查资料</w:t>
      </w:r>
      <w:bookmarkEnd w:id="132"/>
      <w:bookmarkEnd w:id="133"/>
      <w:bookmarkEnd w:id="134"/>
      <w:bookmarkEnd w:id="135"/>
      <w:bookmarkEnd w:id="136"/>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 xml:space="preserve">3.5.1 </w:t>
      </w:r>
      <w:r>
        <w:rPr>
          <w:rFonts w:hint="eastAsia" w:ascii="仿宋" w:hAnsi="仿宋" w:eastAsia="仿宋" w:cs="仿宋"/>
          <w:sz w:val="28"/>
          <w:szCs w:val="28"/>
        </w:rPr>
        <w:t>本须知前附表1.4.1条要求的相关资料复印件（需要加盖公章）和投标文件格式要求的内容</w:t>
      </w:r>
      <w:r>
        <w:rPr>
          <w:rFonts w:hint="eastAsia" w:ascii="仿宋" w:hAnsi="仿宋" w:eastAsia="仿宋" w:cs="仿宋"/>
          <w:snapToGrid w:val="0"/>
          <w:kern w:val="0"/>
          <w:sz w:val="28"/>
          <w:szCs w:val="28"/>
        </w:rPr>
        <w:t>；</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137" w:name="_Toc317863446"/>
      <w:bookmarkStart w:id="138" w:name="_Toc334774187"/>
      <w:bookmarkStart w:id="139" w:name="_Toc531594756"/>
      <w:bookmarkStart w:id="140" w:name="_Toc200513151"/>
      <w:bookmarkStart w:id="141" w:name="_Toc7983"/>
      <w:bookmarkStart w:id="142" w:name="_Toc325636604"/>
      <w:r>
        <w:rPr>
          <w:rFonts w:hint="eastAsia" w:ascii="方正黑体_GBK" w:hAnsi="方正黑体_GBK" w:eastAsia="方正黑体_GBK" w:cs="方正黑体_GBK"/>
          <w:b/>
          <w:snapToGrid w:val="0"/>
          <w:kern w:val="0"/>
          <w:szCs w:val="24"/>
          <w:lang w:val="zh-CN"/>
        </w:rPr>
        <w:t>3.6 备选投标人案</w:t>
      </w:r>
      <w:bookmarkEnd w:id="137"/>
      <w:bookmarkEnd w:id="138"/>
      <w:bookmarkEnd w:id="139"/>
      <w:bookmarkEnd w:id="140"/>
      <w:bookmarkEnd w:id="141"/>
      <w:bookmarkEnd w:id="142"/>
    </w:p>
    <w:p>
      <w:pPr>
        <w:autoSpaceDE w:val="0"/>
        <w:autoSpaceDN w:val="0"/>
        <w:adjustRightInd w:val="0"/>
        <w:snapToGrid w:val="0"/>
        <w:spacing w:line="520" w:lineRule="exact"/>
        <w:ind w:left="420"/>
        <w:rPr>
          <w:rFonts w:ascii="仿宋" w:hAnsi="仿宋" w:eastAsia="仿宋" w:cs="仿宋"/>
          <w:snapToGrid w:val="0"/>
          <w:kern w:val="0"/>
          <w:sz w:val="28"/>
          <w:szCs w:val="28"/>
        </w:rPr>
      </w:pPr>
      <w:r>
        <w:rPr>
          <w:rFonts w:hint="eastAsia" w:ascii="仿宋" w:hAnsi="仿宋" w:eastAsia="仿宋" w:cs="仿宋"/>
          <w:snapToGrid w:val="0"/>
          <w:kern w:val="0"/>
          <w:sz w:val="28"/>
          <w:szCs w:val="28"/>
        </w:rPr>
        <w:t>投标人不得递交备选投标人案。</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143" w:name="_Toc334774188"/>
      <w:bookmarkStart w:id="144" w:name="_Toc200513152"/>
      <w:bookmarkStart w:id="145" w:name="_Toc317863447"/>
      <w:bookmarkStart w:id="146" w:name="_Toc325636605"/>
      <w:bookmarkStart w:id="147" w:name="_Toc21408"/>
      <w:bookmarkStart w:id="148" w:name="_Toc531594757"/>
      <w:r>
        <w:rPr>
          <w:rFonts w:hint="eastAsia" w:ascii="方正黑体_GBK" w:hAnsi="方正黑体_GBK" w:eastAsia="方正黑体_GBK" w:cs="方正黑体_GBK"/>
          <w:b/>
          <w:snapToGrid w:val="0"/>
          <w:kern w:val="0"/>
          <w:szCs w:val="24"/>
          <w:lang w:val="zh-CN"/>
        </w:rPr>
        <w:t>3.7 投标文件的编制</w:t>
      </w:r>
      <w:bookmarkEnd w:id="143"/>
      <w:bookmarkEnd w:id="144"/>
      <w:bookmarkEnd w:id="145"/>
      <w:bookmarkEnd w:id="146"/>
      <w:bookmarkEnd w:id="147"/>
      <w:bookmarkEnd w:id="148"/>
    </w:p>
    <w:p>
      <w:pPr>
        <w:autoSpaceDE w:val="0"/>
        <w:autoSpaceDN w:val="0"/>
        <w:adjustRightInd w:val="0"/>
        <w:snapToGrid w:val="0"/>
        <w:spacing w:line="520" w:lineRule="exact"/>
        <w:rPr>
          <w:rFonts w:ascii="仿宋" w:hAnsi="仿宋" w:eastAsia="仿宋" w:cs="仿宋"/>
          <w:snapToGrid w:val="0"/>
          <w:kern w:val="0"/>
          <w:sz w:val="28"/>
          <w:szCs w:val="28"/>
        </w:rPr>
      </w:pPr>
      <w:r>
        <w:rPr>
          <w:rFonts w:hint="eastAsia" w:ascii="仿宋" w:hAnsi="仿宋" w:eastAsia="仿宋" w:cs="仿宋"/>
          <w:snapToGrid w:val="0"/>
          <w:kern w:val="0"/>
          <w:sz w:val="28"/>
          <w:szCs w:val="28"/>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3.7.2 投标文件应当对招标文件有关工期、投标有效期、质量要求、技术标准和要求、招标范围等实质性内容做出响应。</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position w:val="-2"/>
          <w:sz w:val="28"/>
          <w:szCs w:val="28"/>
        </w:rPr>
        <w:t>3.7.3 投标文件应用不褪色的材料书写或打印，并由投标人的法定代表人或其委托代理</w:t>
      </w:r>
      <w:r>
        <w:rPr>
          <w:rFonts w:hint="eastAsia" w:ascii="仿宋" w:hAnsi="仿宋" w:eastAsia="仿宋" w:cs="仿宋"/>
          <w:snapToGrid w:val="0"/>
          <w:kern w:val="0"/>
          <w:sz w:val="28"/>
          <w:szCs w:val="28"/>
        </w:rPr>
        <w:t>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autoSpaceDE w:val="0"/>
        <w:autoSpaceDN w:val="0"/>
        <w:adjustRightInd w:val="0"/>
        <w:snapToGrid w:val="0"/>
        <w:spacing w:before="1" w:line="520" w:lineRule="exact"/>
        <w:ind w:right="-164"/>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3.7.4 投标文件份数见投标须知前附表。</w:t>
      </w:r>
    </w:p>
    <w:p>
      <w:pPr>
        <w:autoSpaceDE w:val="0"/>
        <w:autoSpaceDN w:val="0"/>
        <w:adjustRightInd w:val="0"/>
        <w:snapToGrid w:val="0"/>
        <w:spacing w:before="10" w:line="520" w:lineRule="exact"/>
        <w:ind w:right="-109"/>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3.7.5 投标文件的正本与副本应分别装订成册，并编制目录，具体装订要求见投标人须知前附表规定。</w:t>
      </w:r>
    </w:p>
    <w:p>
      <w:pPr>
        <w:autoSpaceDE w:val="0"/>
        <w:autoSpaceDN w:val="0"/>
        <w:adjustRightInd w:val="0"/>
        <w:snapToGrid w:val="0"/>
        <w:spacing w:line="520" w:lineRule="exact"/>
        <w:jc w:val="left"/>
        <w:outlineLvl w:val="1"/>
        <w:rPr>
          <w:rFonts w:ascii="方正黑体_GBK" w:hAnsi="方正黑体_GBK" w:eastAsia="方正黑体_GBK" w:cs="方正黑体_GBK"/>
          <w:b/>
          <w:snapToGrid w:val="0"/>
          <w:w w:val="99"/>
          <w:kern w:val="0"/>
          <w:sz w:val="28"/>
          <w:szCs w:val="28"/>
          <w:lang w:val="zh-CN"/>
        </w:rPr>
      </w:pPr>
      <w:bookmarkStart w:id="149" w:name="_Toc334774189"/>
      <w:bookmarkStart w:id="150" w:name="_Toc531594758"/>
      <w:bookmarkStart w:id="151" w:name="_Toc13793"/>
      <w:bookmarkStart w:id="152" w:name="_Toc200513153"/>
      <w:bookmarkStart w:id="153" w:name="_Toc317863448"/>
      <w:r>
        <w:rPr>
          <w:rFonts w:hint="eastAsia" w:ascii="方正黑体_GBK" w:hAnsi="方正黑体_GBK" w:eastAsia="方正黑体_GBK" w:cs="方正黑体_GBK"/>
          <w:b/>
          <w:snapToGrid w:val="0"/>
          <w:w w:val="99"/>
          <w:kern w:val="0"/>
          <w:sz w:val="28"/>
          <w:szCs w:val="28"/>
          <w:lang w:val="zh-CN"/>
        </w:rPr>
        <w:t>4.投标</w:t>
      </w:r>
      <w:bookmarkEnd w:id="149"/>
      <w:bookmarkEnd w:id="150"/>
      <w:bookmarkEnd w:id="151"/>
      <w:bookmarkEnd w:id="152"/>
      <w:bookmarkEnd w:id="153"/>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154" w:name="_Toc26003"/>
      <w:bookmarkStart w:id="155" w:name="_Toc317863449"/>
      <w:bookmarkStart w:id="156" w:name="_Toc531594759"/>
      <w:bookmarkStart w:id="157" w:name="_Toc334774190"/>
      <w:bookmarkStart w:id="158" w:name="_Toc325636607"/>
      <w:bookmarkStart w:id="159" w:name="_Toc200513154"/>
      <w:r>
        <w:rPr>
          <w:rFonts w:hint="eastAsia" w:ascii="方正黑体_GBK" w:hAnsi="方正黑体_GBK" w:eastAsia="方正黑体_GBK" w:cs="方正黑体_GBK"/>
          <w:b/>
          <w:snapToGrid w:val="0"/>
          <w:kern w:val="0"/>
          <w:szCs w:val="24"/>
          <w:lang w:val="zh-CN"/>
        </w:rPr>
        <w:t>4.1 投标文件的密封和标记</w:t>
      </w:r>
      <w:bookmarkEnd w:id="154"/>
      <w:bookmarkEnd w:id="155"/>
      <w:bookmarkEnd w:id="156"/>
      <w:bookmarkEnd w:id="157"/>
      <w:bookmarkEnd w:id="158"/>
      <w:bookmarkEnd w:id="159"/>
    </w:p>
    <w:p>
      <w:pPr>
        <w:autoSpaceDE w:val="0"/>
        <w:autoSpaceDN w:val="0"/>
        <w:adjustRightInd w:val="0"/>
        <w:snapToGrid w:val="0"/>
        <w:spacing w:line="520" w:lineRule="exact"/>
        <w:jc w:val="left"/>
        <w:rPr>
          <w:rFonts w:ascii="仿宋" w:hAnsi="仿宋" w:eastAsia="仿宋" w:cs="仿宋"/>
          <w:snapToGrid w:val="0"/>
          <w:kern w:val="0"/>
          <w:sz w:val="28"/>
          <w:szCs w:val="28"/>
        </w:rPr>
      </w:pPr>
      <w:bookmarkStart w:id="160" w:name="_Toc200513155"/>
      <w:r>
        <w:rPr>
          <w:rFonts w:hint="eastAsia" w:ascii="仿宋" w:hAnsi="仿宋" w:eastAsia="仿宋" w:cs="仿宋"/>
          <w:snapToGrid w:val="0"/>
          <w:kern w:val="0"/>
          <w:sz w:val="28"/>
          <w:szCs w:val="28"/>
        </w:rPr>
        <w:t>4.1.1 投标文件的密封见投标人须知前附表。</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4.1.2 投标文件的封套上应写明的内容见投标人须知前附表。</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4.1.3 未按要求密封和写标记的投标文件，将被拒绝受理。</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161" w:name="_Toc317863450"/>
      <w:bookmarkStart w:id="162" w:name="_Toc334774191"/>
      <w:bookmarkStart w:id="163" w:name="_Toc325636608"/>
      <w:bookmarkStart w:id="164" w:name="_Toc531594760"/>
      <w:bookmarkStart w:id="165" w:name="_Toc5004"/>
      <w:r>
        <w:rPr>
          <w:rFonts w:hint="eastAsia" w:ascii="方正黑体_GBK" w:hAnsi="方正黑体_GBK" w:eastAsia="方正黑体_GBK" w:cs="方正黑体_GBK"/>
          <w:b/>
          <w:snapToGrid w:val="0"/>
          <w:kern w:val="0"/>
          <w:szCs w:val="24"/>
          <w:lang w:val="zh-CN"/>
        </w:rPr>
        <w:t>4.2 投标文件的递交</w:t>
      </w:r>
      <w:bookmarkEnd w:id="160"/>
      <w:bookmarkEnd w:id="161"/>
      <w:bookmarkEnd w:id="162"/>
      <w:bookmarkEnd w:id="163"/>
      <w:bookmarkEnd w:id="164"/>
      <w:bookmarkEnd w:id="165"/>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4.2.1 投标人应在本章前附表规定的投标截止时间前递交投标文件。</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4.2.2 投标人递交投标文件的地点：见投标人须知前附表。</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4.2.3 除投标人须知前附表另有规定外，投标人所递交的投标文件不予退还。</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4.2.4 招标人收到投标文件后，向投标人出具签收凭证。</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4.2.5 逾期送达的或者未送达指定地点的投标文件，招标人不予受理。</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166" w:name="_Toc531594761"/>
      <w:bookmarkStart w:id="167" w:name="_Toc325636609"/>
      <w:bookmarkStart w:id="168" w:name="_Toc317863451"/>
      <w:bookmarkStart w:id="169" w:name="_Toc200513156"/>
      <w:bookmarkStart w:id="170" w:name="_Toc334774192"/>
      <w:bookmarkStart w:id="171" w:name="_Toc20769"/>
      <w:r>
        <w:rPr>
          <w:rFonts w:hint="eastAsia" w:ascii="方正黑体_GBK" w:hAnsi="方正黑体_GBK" w:eastAsia="方正黑体_GBK" w:cs="方正黑体_GBK"/>
          <w:b/>
          <w:snapToGrid w:val="0"/>
          <w:kern w:val="0"/>
          <w:szCs w:val="24"/>
          <w:lang w:val="zh-CN"/>
        </w:rPr>
        <w:t>4.3 投标文件的修改与撤回</w:t>
      </w:r>
      <w:bookmarkEnd w:id="166"/>
      <w:bookmarkEnd w:id="167"/>
      <w:bookmarkEnd w:id="168"/>
      <w:bookmarkEnd w:id="169"/>
      <w:bookmarkEnd w:id="170"/>
      <w:bookmarkEnd w:id="171"/>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4.3.1 在本章第4.2.1项规定的投标截止时间前，投标人可以修改或撤回已递交的投标文件，但应以书面形式通知招标人。</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4.3.2 投标人修改或撤回已递交投标文件的书面通知应按照本章第3.7.3项的要求签字或盖章。招标人收到书面通知后，向投标人出具签收凭证。</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4.3.3 修改的内容为投标文件的组成部分。修改的投标文件应按照本章第3条、第4条规定进行编制、密封、标记和递交，并标明“修改”字样。</w:t>
      </w:r>
    </w:p>
    <w:p>
      <w:pPr>
        <w:autoSpaceDE w:val="0"/>
        <w:autoSpaceDN w:val="0"/>
        <w:adjustRightInd w:val="0"/>
        <w:snapToGrid w:val="0"/>
        <w:spacing w:line="520" w:lineRule="exact"/>
        <w:jc w:val="left"/>
        <w:outlineLvl w:val="1"/>
        <w:rPr>
          <w:rFonts w:ascii="方正黑体_GBK" w:hAnsi="方正黑体_GBK" w:eastAsia="方正黑体_GBK" w:cs="方正黑体_GBK"/>
          <w:b/>
          <w:snapToGrid w:val="0"/>
          <w:w w:val="99"/>
          <w:kern w:val="0"/>
          <w:sz w:val="28"/>
          <w:szCs w:val="28"/>
          <w:lang w:val="zh-CN"/>
        </w:rPr>
      </w:pPr>
      <w:bookmarkStart w:id="172" w:name="_Toc1489"/>
      <w:bookmarkStart w:id="173" w:name="_Toc200513157"/>
      <w:bookmarkStart w:id="174" w:name="_Toc317863452"/>
      <w:bookmarkStart w:id="175" w:name="_Toc334774193"/>
      <w:bookmarkStart w:id="176" w:name="_Toc531594762"/>
      <w:r>
        <w:rPr>
          <w:rFonts w:hint="eastAsia" w:ascii="方正黑体_GBK" w:hAnsi="方正黑体_GBK" w:eastAsia="方正黑体_GBK" w:cs="方正黑体_GBK"/>
          <w:b/>
          <w:snapToGrid w:val="0"/>
          <w:w w:val="99"/>
          <w:kern w:val="0"/>
          <w:sz w:val="28"/>
          <w:szCs w:val="28"/>
          <w:lang w:val="zh-CN"/>
        </w:rPr>
        <w:t>5.开标</w:t>
      </w:r>
      <w:bookmarkEnd w:id="172"/>
      <w:bookmarkEnd w:id="173"/>
      <w:bookmarkEnd w:id="174"/>
      <w:bookmarkEnd w:id="175"/>
      <w:r>
        <w:rPr>
          <w:rFonts w:hint="eastAsia" w:ascii="方正黑体_GBK" w:hAnsi="方正黑体_GBK" w:eastAsia="方正黑体_GBK" w:cs="方正黑体_GBK"/>
          <w:b/>
          <w:snapToGrid w:val="0"/>
          <w:w w:val="99"/>
          <w:kern w:val="0"/>
          <w:sz w:val="28"/>
          <w:szCs w:val="28"/>
          <w:lang w:val="zh-CN"/>
        </w:rPr>
        <w:t>时间及地点</w:t>
      </w:r>
      <w:bookmarkEnd w:id="176"/>
    </w:p>
    <w:p>
      <w:pPr>
        <w:autoSpaceDE w:val="0"/>
        <w:autoSpaceDN w:val="0"/>
        <w:adjustRightInd w:val="0"/>
        <w:snapToGrid w:val="0"/>
        <w:spacing w:line="520" w:lineRule="exact"/>
        <w:jc w:val="left"/>
        <w:outlineLvl w:val="1"/>
        <w:rPr>
          <w:rFonts w:ascii="仿宋" w:hAnsi="仿宋" w:eastAsia="仿宋" w:cs="仿宋"/>
          <w:b/>
          <w:snapToGrid w:val="0"/>
          <w:w w:val="99"/>
          <w:kern w:val="0"/>
          <w:sz w:val="28"/>
          <w:szCs w:val="28"/>
          <w:lang w:val="zh-CN"/>
        </w:rPr>
      </w:pPr>
      <w:r>
        <w:rPr>
          <w:rFonts w:hint="eastAsia" w:ascii="仿宋" w:hAnsi="仿宋" w:eastAsia="仿宋" w:cs="仿宋"/>
          <w:b/>
          <w:snapToGrid w:val="0"/>
          <w:w w:val="99"/>
          <w:kern w:val="0"/>
          <w:sz w:val="28"/>
          <w:szCs w:val="28"/>
          <w:lang w:val="zh-CN"/>
        </w:rPr>
        <w:t xml:space="preserve">    </w:t>
      </w:r>
      <w:bookmarkStart w:id="177" w:name="_Toc531594763"/>
      <w:bookmarkStart w:id="178" w:name="_Toc317863455"/>
      <w:bookmarkStart w:id="179" w:name="_Toc334774196"/>
      <w:bookmarkStart w:id="180" w:name="_Toc7504"/>
      <w:bookmarkStart w:id="181" w:name="_Toc200513160"/>
      <w:r>
        <w:rPr>
          <w:rFonts w:hint="eastAsia" w:ascii="仿宋" w:hAnsi="仿宋" w:eastAsia="仿宋" w:cs="仿宋"/>
          <w:snapToGrid w:val="0"/>
          <w:kern w:val="0"/>
          <w:sz w:val="28"/>
          <w:szCs w:val="28"/>
        </w:rPr>
        <w:t>开标时间及地点见投标人需知前附表</w:t>
      </w:r>
      <w:bookmarkEnd w:id="177"/>
    </w:p>
    <w:p>
      <w:pPr>
        <w:autoSpaceDE w:val="0"/>
        <w:autoSpaceDN w:val="0"/>
        <w:adjustRightInd w:val="0"/>
        <w:snapToGrid w:val="0"/>
        <w:spacing w:line="520" w:lineRule="exact"/>
        <w:jc w:val="left"/>
        <w:outlineLvl w:val="1"/>
        <w:rPr>
          <w:rFonts w:ascii="方正黑体_GBK" w:hAnsi="方正黑体_GBK" w:eastAsia="方正黑体_GBK" w:cs="方正黑体_GBK"/>
          <w:b/>
          <w:snapToGrid w:val="0"/>
          <w:w w:val="99"/>
          <w:kern w:val="0"/>
          <w:sz w:val="28"/>
          <w:szCs w:val="28"/>
          <w:lang w:val="zh-CN"/>
        </w:rPr>
      </w:pPr>
      <w:bookmarkStart w:id="182" w:name="_Toc531594764"/>
      <w:r>
        <w:rPr>
          <w:rFonts w:hint="eastAsia" w:ascii="方正黑体_GBK" w:hAnsi="方正黑体_GBK" w:eastAsia="方正黑体_GBK" w:cs="方正黑体_GBK"/>
          <w:b/>
          <w:snapToGrid w:val="0"/>
          <w:w w:val="99"/>
          <w:kern w:val="0"/>
          <w:sz w:val="28"/>
          <w:szCs w:val="28"/>
          <w:lang w:val="zh-CN"/>
        </w:rPr>
        <w:t>6.评标</w:t>
      </w:r>
      <w:bookmarkEnd w:id="178"/>
      <w:bookmarkEnd w:id="179"/>
      <w:bookmarkEnd w:id="180"/>
      <w:bookmarkEnd w:id="181"/>
      <w:bookmarkEnd w:id="182"/>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183" w:name="_Toc531594765"/>
      <w:bookmarkStart w:id="184" w:name="_Toc334774197"/>
      <w:bookmarkStart w:id="185" w:name="_Toc325636614"/>
      <w:bookmarkStart w:id="186" w:name="_Toc16186"/>
      <w:bookmarkStart w:id="187" w:name="_Toc317863456"/>
      <w:bookmarkStart w:id="188" w:name="_Toc200513161"/>
      <w:r>
        <w:rPr>
          <w:rFonts w:hint="eastAsia" w:ascii="方正黑体_GBK" w:hAnsi="方正黑体_GBK" w:eastAsia="方正黑体_GBK" w:cs="方正黑体_GBK"/>
          <w:b/>
          <w:snapToGrid w:val="0"/>
          <w:kern w:val="0"/>
          <w:szCs w:val="24"/>
          <w:lang w:val="zh-CN"/>
        </w:rPr>
        <w:t>6.1 评标委员会</w:t>
      </w:r>
      <w:bookmarkEnd w:id="183"/>
      <w:bookmarkEnd w:id="184"/>
      <w:bookmarkEnd w:id="185"/>
      <w:bookmarkEnd w:id="186"/>
      <w:bookmarkEnd w:id="187"/>
      <w:bookmarkEnd w:id="188"/>
    </w:p>
    <w:p>
      <w:pPr>
        <w:autoSpaceDE w:val="0"/>
        <w:autoSpaceDN w:val="0"/>
        <w:adjustRightInd w:val="0"/>
        <w:snapToGrid w:val="0"/>
        <w:spacing w:line="520" w:lineRule="exact"/>
        <w:rPr>
          <w:rFonts w:ascii="仿宋" w:hAnsi="仿宋" w:eastAsia="仿宋" w:cs="仿宋"/>
          <w:snapToGrid w:val="0"/>
          <w:kern w:val="0"/>
          <w:sz w:val="28"/>
          <w:szCs w:val="28"/>
        </w:rPr>
      </w:pPr>
      <w:r>
        <w:rPr>
          <w:rFonts w:hint="eastAsia" w:ascii="仿宋" w:hAnsi="仿宋" w:eastAsia="仿宋" w:cs="仿宋"/>
          <w:snapToGrid w:val="0"/>
          <w:kern w:val="0"/>
          <w:sz w:val="28"/>
          <w:szCs w:val="28"/>
        </w:rPr>
        <w:t>6.1.1 评标由招标人依法组建的评标委员会负责。评标委员会成员的确定方式见投标人须知前附表。</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6.1.2 评标委员会成员有下列情形之一的，应当回避：</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6.1.2.1 招标人或投标人的主要负责人的近亲属；</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6.1.2.2 项目主管部门或者行政监督部门的人员；</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6.1.2.3 与投标人有经济利益关系，可能影响对投标公正评审的；</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6.1.2.4 曾因在招标、评标以及其他与招标投标有关活动中从事违法行为而受过行政处罚或刑事处罚的。</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189" w:name="_Toc531594766"/>
      <w:bookmarkStart w:id="190" w:name="_Toc325636615"/>
      <w:bookmarkStart w:id="191" w:name="_Toc18631"/>
      <w:bookmarkStart w:id="192" w:name="_Toc334774198"/>
      <w:bookmarkStart w:id="193" w:name="_Toc317863457"/>
      <w:bookmarkStart w:id="194" w:name="_Toc200513162"/>
      <w:r>
        <w:rPr>
          <w:rFonts w:hint="eastAsia" w:ascii="方正黑体_GBK" w:hAnsi="方正黑体_GBK" w:eastAsia="方正黑体_GBK" w:cs="方正黑体_GBK"/>
          <w:b/>
          <w:snapToGrid w:val="0"/>
          <w:kern w:val="0"/>
          <w:szCs w:val="24"/>
          <w:lang w:val="zh-CN"/>
        </w:rPr>
        <w:t>6.2 评标原则</w:t>
      </w:r>
      <w:bookmarkEnd w:id="189"/>
      <w:bookmarkEnd w:id="190"/>
      <w:bookmarkEnd w:id="191"/>
      <w:bookmarkEnd w:id="192"/>
      <w:bookmarkEnd w:id="193"/>
      <w:bookmarkEnd w:id="194"/>
    </w:p>
    <w:p>
      <w:pPr>
        <w:tabs>
          <w:tab w:val="center" w:pos="4153"/>
          <w:tab w:val="right" w:pos="8306"/>
        </w:tabs>
        <w:snapToGrid w:val="0"/>
        <w:spacing w:line="520" w:lineRule="exact"/>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根据有效投标文件的</w:t>
      </w:r>
      <w:bookmarkStart w:id="195" w:name="_Toc200513163"/>
      <w:bookmarkStart w:id="196" w:name="_Toc317863458"/>
      <w:bookmarkStart w:id="197" w:name="_Toc334774199"/>
      <w:bookmarkStart w:id="198" w:name="_Toc21682"/>
      <w:bookmarkStart w:id="199" w:name="_Toc325636616"/>
      <w:r>
        <w:rPr>
          <w:rFonts w:hint="eastAsia" w:ascii="仿宋" w:hAnsi="仿宋" w:eastAsia="仿宋" w:cs="仿宋"/>
          <w:snapToGrid w:val="0"/>
          <w:kern w:val="0"/>
          <w:sz w:val="28"/>
          <w:szCs w:val="28"/>
        </w:rPr>
        <w:t>折扣报价、增值服务、售后保障等因素综合评定确定中标单位。</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r>
        <w:rPr>
          <w:rFonts w:hint="eastAsia" w:ascii="方正黑体_GBK" w:hAnsi="方正黑体_GBK" w:eastAsia="方正黑体_GBK" w:cs="方正黑体_GBK"/>
          <w:b/>
          <w:snapToGrid w:val="0"/>
          <w:kern w:val="0"/>
          <w:szCs w:val="24"/>
          <w:lang w:val="zh-CN"/>
        </w:rPr>
        <w:t>6.3 评标</w:t>
      </w:r>
      <w:bookmarkEnd w:id="195"/>
      <w:bookmarkEnd w:id="196"/>
      <w:bookmarkEnd w:id="197"/>
      <w:bookmarkEnd w:id="198"/>
      <w:bookmarkEnd w:id="199"/>
    </w:p>
    <w:p>
      <w:pPr>
        <w:autoSpaceDE w:val="0"/>
        <w:autoSpaceDN w:val="0"/>
        <w:adjustRightInd w:val="0"/>
        <w:snapToGrid w:val="0"/>
        <w:spacing w:line="520" w:lineRule="exact"/>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评标委员会按照第四章“评标原则”规定的方法、评审因素、标准和程序对投标文件进行评审。</w:t>
      </w:r>
      <w:bookmarkStart w:id="200" w:name="_Toc200513164"/>
    </w:p>
    <w:p>
      <w:pPr>
        <w:autoSpaceDE w:val="0"/>
        <w:autoSpaceDN w:val="0"/>
        <w:adjustRightInd w:val="0"/>
        <w:snapToGrid w:val="0"/>
        <w:spacing w:line="520" w:lineRule="exact"/>
        <w:jc w:val="left"/>
        <w:outlineLvl w:val="1"/>
        <w:rPr>
          <w:rFonts w:ascii="方正黑体_GBK" w:hAnsi="方正黑体_GBK" w:eastAsia="方正黑体_GBK" w:cs="方正黑体_GBK"/>
          <w:b/>
          <w:snapToGrid w:val="0"/>
          <w:w w:val="99"/>
          <w:kern w:val="0"/>
          <w:sz w:val="28"/>
          <w:szCs w:val="28"/>
          <w:lang w:val="zh-CN"/>
        </w:rPr>
      </w:pPr>
      <w:bookmarkStart w:id="201" w:name="_Toc334774200"/>
      <w:bookmarkStart w:id="202" w:name="_Toc317863459"/>
      <w:bookmarkStart w:id="203" w:name="_Toc531594767"/>
      <w:bookmarkStart w:id="204" w:name="_Toc5106"/>
      <w:r>
        <w:rPr>
          <w:rFonts w:hint="eastAsia" w:ascii="方正黑体_GBK" w:hAnsi="方正黑体_GBK" w:eastAsia="方正黑体_GBK" w:cs="方正黑体_GBK"/>
          <w:b/>
          <w:snapToGrid w:val="0"/>
          <w:w w:val="99"/>
          <w:kern w:val="0"/>
          <w:sz w:val="28"/>
          <w:szCs w:val="28"/>
          <w:lang w:val="zh-CN"/>
        </w:rPr>
        <w:t>7.合同授予</w:t>
      </w:r>
      <w:bookmarkEnd w:id="200"/>
      <w:bookmarkEnd w:id="201"/>
      <w:bookmarkEnd w:id="202"/>
      <w:bookmarkEnd w:id="203"/>
      <w:bookmarkEnd w:id="204"/>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205" w:name="_Toc317863460"/>
      <w:bookmarkStart w:id="206" w:name="_Toc200513165"/>
      <w:bookmarkStart w:id="207" w:name="_Toc531594768"/>
      <w:bookmarkStart w:id="208" w:name="_Toc334774201"/>
      <w:bookmarkStart w:id="209" w:name="_Toc22299"/>
      <w:bookmarkStart w:id="210" w:name="_Toc325636618"/>
      <w:r>
        <w:rPr>
          <w:rFonts w:hint="eastAsia" w:ascii="方正黑体_GBK" w:hAnsi="方正黑体_GBK" w:eastAsia="方正黑体_GBK" w:cs="方正黑体_GBK"/>
          <w:b/>
          <w:snapToGrid w:val="0"/>
          <w:kern w:val="0"/>
          <w:szCs w:val="24"/>
          <w:lang w:val="zh-CN"/>
        </w:rPr>
        <w:t>7.1 定标方式</w:t>
      </w:r>
      <w:bookmarkEnd w:id="205"/>
      <w:bookmarkEnd w:id="206"/>
      <w:bookmarkEnd w:id="207"/>
      <w:bookmarkEnd w:id="208"/>
      <w:bookmarkEnd w:id="209"/>
      <w:bookmarkEnd w:id="210"/>
    </w:p>
    <w:p>
      <w:pPr>
        <w:autoSpaceDE w:val="0"/>
        <w:autoSpaceDN w:val="0"/>
        <w:adjustRightInd w:val="0"/>
        <w:snapToGrid w:val="0"/>
        <w:spacing w:line="520" w:lineRule="exact"/>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211" w:name="_Toc334774202"/>
      <w:bookmarkStart w:id="212" w:name="_Toc19729"/>
      <w:bookmarkStart w:id="213" w:name="_Toc200513166"/>
      <w:bookmarkStart w:id="214" w:name="_Toc317863461"/>
      <w:bookmarkStart w:id="215" w:name="_Toc531594769"/>
      <w:bookmarkStart w:id="216" w:name="_Toc325636619"/>
      <w:r>
        <w:rPr>
          <w:rFonts w:hint="eastAsia" w:ascii="方正黑体_GBK" w:hAnsi="方正黑体_GBK" w:eastAsia="方正黑体_GBK" w:cs="方正黑体_GBK"/>
          <w:b/>
          <w:snapToGrid w:val="0"/>
          <w:kern w:val="0"/>
          <w:szCs w:val="24"/>
          <w:lang w:val="zh-CN"/>
        </w:rPr>
        <w:t>7.2 中标通知</w:t>
      </w:r>
      <w:bookmarkEnd w:id="211"/>
      <w:bookmarkEnd w:id="212"/>
      <w:bookmarkEnd w:id="213"/>
      <w:bookmarkEnd w:id="214"/>
      <w:bookmarkEnd w:id="215"/>
      <w:bookmarkEnd w:id="216"/>
    </w:p>
    <w:p>
      <w:pPr>
        <w:autoSpaceDE w:val="0"/>
        <w:autoSpaceDN w:val="0"/>
        <w:adjustRightInd w:val="0"/>
        <w:snapToGrid w:val="0"/>
        <w:spacing w:line="520" w:lineRule="exact"/>
        <w:ind w:firstLine="560" w:firstLineChars="200"/>
        <w:jc w:val="left"/>
        <w:rPr>
          <w:rFonts w:ascii="仿宋" w:hAnsi="仿宋" w:eastAsia="仿宋" w:cs="仿宋"/>
          <w:snapToGrid w:val="0"/>
          <w:sz w:val="28"/>
          <w:szCs w:val="28"/>
        </w:rPr>
      </w:pPr>
      <w:r>
        <w:rPr>
          <w:rFonts w:hint="eastAsia" w:ascii="仿宋" w:hAnsi="仿宋" w:eastAsia="仿宋" w:cs="仿宋"/>
          <w:snapToGrid w:val="0"/>
          <w:kern w:val="0"/>
          <w:sz w:val="28"/>
          <w:szCs w:val="28"/>
        </w:rPr>
        <w:t>在本章第 3.3 款规定的投标有效期内，招标人以网络公示的形式向中标人发出中标通知书。</w:t>
      </w:r>
      <w:bookmarkStart w:id="217" w:name="_Toc200513168"/>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218" w:name="_Toc9808"/>
      <w:bookmarkStart w:id="219" w:name="_Toc325636621"/>
      <w:bookmarkStart w:id="220" w:name="_Toc334774203"/>
      <w:bookmarkStart w:id="221" w:name="_Toc531594770"/>
      <w:bookmarkStart w:id="222" w:name="_Toc317863463"/>
      <w:r>
        <w:rPr>
          <w:rFonts w:hint="eastAsia" w:ascii="方正黑体_GBK" w:hAnsi="方正黑体_GBK" w:eastAsia="方正黑体_GBK" w:cs="方正黑体_GBK"/>
          <w:b/>
          <w:snapToGrid w:val="0"/>
          <w:kern w:val="0"/>
          <w:szCs w:val="24"/>
          <w:lang w:val="zh-CN"/>
        </w:rPr>
        <w:t>7.3 签订合同</w:t>
      </w:r>
      <w:bookmarkEnd w:id="217"/>
      <w:bookmarkEnd w:id="218"/>
      <w:bookmarkEnd w:id="219"/>
      <w:bookmarkEnd w:id="220"/>
      <w:bookmarkEnd w:id="221"/>
      <w:bookmarkEnd w:id="222"/>
    </w:p>
    <w:p>
      <w:pPr>
        <w:autoSpaceDE w:val="0"/>
        <w:autoSpaceDN w:val="0"/>
        <w:adjustRightInd w:val="0"/>
        <w:snapToGrid w:val="0"/>
        <w:spacing w:line="520" w:lineRule="exact"/>
        <w:rPr>
          <w:rFonts w:ascii="仿宋" w:hAnsi="仿宋" w:eastAsia="仿宋" w:cs="仿宋"/>
          <w:snapToGrid w:val="0"/>
          <w:kern w:val="0"/>
          <w:sz w:val="28"/>
          <w:szCs w:val="28"/>
        </w:rPr>
      </w:pPr>
      <w:bookmarkStart w:id="223" w:name="_Toc200513169"/>
      <w:r>
        <w:rPr>
          <w:rFonts w:hint="eastAsia" w:ascii="仿宋" w:hAnsi="仿宋" w:eastAsia="仿宋" w:cs="仿宋"/>
          <w:snapToGrid w:val="0"/>
          <w:kern w:val="0"/>
          <w:sz w:val="28"/>
          <w:szCs w:val="28"/>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7.3.2 发出中标通知书后，招标人无正当理由拒签合同的，招标人向中标人退还投标保证金；给中标人造成损失的，还应当赔偿损失。</w:t>
      </w:r>
    </w:p>
    <w:p>
      <w:pPr>
        <w:autoSpaceDE w:val="0"/>
        <w:autoSpaceDN w:val="0"/>
        <w:adjustRightInd w:val="0"/>
        <w:snapToGrid w:val="0"/>
        <w:spacing w:line="520" w:lineRule="exact"/>
        <w:rPr>
          <w:rFonts w:ascii="仿宋" w:hAnsi="仿宋" w:eastAsia="仿宋" w:cs="仿宋"/>
          <w:snapToGrid w:val="0"/>
          <w:kern w:val="0"/>
          <w:sz w:val="28"/>
          <w:szCs w:val="28"/>
        </w:rPr>
      </w:pPr>
      <w:r>
        <w:rPr>
          <w:rFonts w:hint="eastAsia" w:ascii="仿宋" w:hAnsi="仿宋" w:eastAsia="仿宋" w:cs="仿宋"/>
          <w:snapToGrid w:val="0"/>
          <w:kern w:val="0"/>
          <w:sz w:val="28"/>
          <w:szCs w:val="28"/>
        </w:rPr>
        <w:t>7.3.3 投标人中标后又提出对招标文件中各项条款的不实质性响应，经双方协商，在7.3.1条规定的时间内不能达成一致意见的，招标人有权取消其中标资格，并没收其投标保证金。</w:t>
      </w:r>
    </w:p>
    <w:p>
      <w:pPr>
        <w:autoSpaceDE w:val="0"/>
        <w:autoSpaceDN w:val="0"/>
        <w:adjustRightInd w:val="0"/>
        <w:snapToGrid w:val="0"/>
        <w:spacing w:line="520" w:lineRule="exact"/>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7.3.4 签订合同后，承包人放弃承包权或因自身原因（如资金不保证，设备、机具、劳动力等资源不保证,无法提交履约担保等等）不能履行合同，发包人有权终止合同，并没收其投标保证金及履约保证金。</w:t>
      </w:r>
    </w:p>
    <w:p>
      <w:pPr>
        <w:autoSpaceDE w:val="0"/>
        <w:autoSpaceDN w:val="0"/>
        <w:adjustRightInd w:val="0"/>
        <w:snapToGrid w:val="0"/>
        <w:spacing w:line="520" w:lineRule="exact"/>
        <w:jc w:val="left"/>
        <w:outlineLvl w:val="1"/>
        <w:rPr>
          <w:rFonts w:ascii="方正黑体_GBK" w:hAnsi="方正黑体_GBK" w:eastAsia="方正黑体_GBK" w:cs="方正黑体_GBK"/>
          <w:b/>
          <w:snapToGrid w:val="0"/>
          <w:w w:val="99"/>
          <w:kern w:val="0"/>
          <w:sz w:val="28"/>
          <w:szCs w:val="28"/>
          <w:lang w:val="zh-CN"/>
        </w:rPr>
      </w:pPr>
      <w:bookmarkStart w:id="224" w:name="_Toc317863464"/>
      <w:bookmarkStart w:id="225" w:name="_Toc15584"/>
      <w:bookmarkStart w:id="226" w:name="_Toc531594771"/>
      <w:bookmarkStart w:id="227" w:name="_Toc334774204"/>
      <w:r>
        <w:rPr>
          <w:rFonts w:hint="eastAsia" w:ascii="方正黑体_GBK" w:hAnsi="方正黑体_GBK" w:eastAsia="方正黑体_GBK" w:cs="方正黑体_GBK"/>
          <w:b/>
          <w:snapToGrid w:val="0"/>
          <w:w w:val="99"/>
          <w:kern w:val="0"/>
          <w:sz w:val="28"/>
          <w:szCs w:val="28"/>
          <w:lang w:val="zh-CN"/>
        </w:rPr>
        <w:t>8.重新招标和不再招标</w:t>
      </w:r>
      <w:bookmarkEnd w:id="223"/>
      <w:bookmarkEnd w:id="224"/>
      <w:bookmarkEnd w:id="225"/>
      <w:bookmarkEnd w:id="226"/>
      <w:bookmarkEnd w:id="227"/>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228" w:name="_Toc317863465"/>
      <w:bookmarkStart w:id="229" w:name="_Toc334774205"/>
      <w:bookmarkStart w:id="230" w:name="_Toc325636623"/>
      <w:bookmarkStart w:id="231" w:name="_Toc531594772"/>
      <w:bookmarkStart w:id="232" w:name="_Toc22330"/>
      <w:bookmarkStart w:id="233" w:name="_Toc200513170"/>
      <w:r>
        <w:rPr>
          <w:rFonts w:hint="eastAsia" w:ascii="方正黑体_GBK" w:hAnsi="方正黑体_GBK" w:eastAsia="方正黑体_GBK" w:cs="方正黑体_GBK"/>
          <w:b/>
          <w:snapToGrid w:val="0"/>
          <w:kern w:val="0"/>
          <w:szCs w:val="24"/>
          <w:lang w:val="zh-CN"/>
        </w:rPr>
        <w:t>8.1 重新招标</w:t>
      </w:r>
      <w:bookmarkEnd w:id="228"/>
      <w:bookmarkEnd w:id="229"/>
      <w:bookmarkEnd w:id="230"/>
      <w:bookmarkEnd w:id="231"/>
      <w:bookmarkEnd w:id="232"/>
      <w:bookmarkEnd w:id="233"/>
    </w:p>
    <w:p>
      <w:pPr>
        <w:autoSpaceDE w:val="0"/>
        <w:autoSpaceDN w:val="0"/>
        <w:adjustRightInd w:val="0"/>
        <w:snapToGrid w:val="0"/>
        <w:spacing w:line="520" w:lineRule="exact"/>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有下列情形之一的，招标人将重新招标</w:t>
      </w:r>
    </w:p>
    <w:p>
      <w:pPr>
        <w:autoSpaceDE w:val="0"/>
        <w:autoSpaceDN w:val="0"/>
        <w:adjustRightInd w:val="0"/>
        <w:snapToGrid w:val="0"/>
        <w:spacing w:line="520" w:lineRule="exact"/>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w:t>
      </w:r>
      <w:bookmarkStart w:id="234" w:name="_Toc317863466"/>
      <w:bookmarkStart w:id="235" w:name="_Toc200513171"/>
      <w:bookmarkStart w:id="236" w:name="_Toc325636624"/>
      <w:bookmarkStart w:id="237" w:name="_Toc334774206"/>
      <w:bookmarkStart w:id="238" w:name="_Toc24379"/>
      <w:r>
        <w:rPr>
          <w:rFonts w:hint="eastAsia" w:ascii="仿宋" w:hAnsi="仿宋" w:eastAsia="仿宋" w:cs="仿宋"/>
          <w:sz w:val="28"/>
          <w:szCs w:val="28"/>
        </w:rPr>
        <w:t>1）</w:t>
      </w:r>
      <w:r>
        <w:rPr>
          <w:rFonts w:hint="eastAsia" w:ascii="仿宋" w:hAnsi="仿宋" w:eastAsia="仿宋" w:cs="仿宋"/>
          <w:snapToGrid w:val="0"/>
          <w:kern w:val="0"/>
          <w:sz w:val="28"/>
          <w:szCs w:val="28"/>
        </w:rPr>
        <w:t>投标截止时间止，投标人少于</w:t>
      </w:r>
      <w:r>
        <w:rPr>
          <w:rFonts w:hint="eastAsia" w:ascii="仿宋" w:hAnsi="仿宋" w:eastAsia="仿宋" w:cs="仿宋"/>
          <w:sz w:val="28"/>
          <w:szCs w:val="28"/>
        </w:rPr>
        <w:t>三</w:t>
      </w:r>
      <w:r>
        <w:rPr>
          <w:rFonts w:hint="eastAsia" w:ascii="仿宋" w:hAnsi="仿宋" w:eastAsia="仿宋" w:cs="仿宋"/>
          <w:snapToGrid w:val="0"/>
          <w:kern w:val="0"/>
          <w:sz w:val="28"/>
          <w:szCs w:val="28"/>
        </w:rPr>
        <w:t>个的；</w:t>
      </w:r>
    </w:p>
    <w:p>
      <w:pPr>
        <w:autoSpaceDE w:val="0"/>
        <w:autoSpaceDN w:val="0"/>
        <w:adjustRightInd w:val="0"/>
        <w:snapToGrid w:val="0"/>
        <w:ind w:firstLine="560" w:firstLineChars="200"/>
        <w:jc w:val="left"/>
        <w:rPr>
          <w:rFonts w:ascii="仿宋" w:hAnsi="仿宋" w:eastAsia="仿宋" w:cs="仿宋"/>
          <w:snapToGrid w:val="0"/>
          <w:kern w:val="0"/>
          <w:sz w:val="28"/>
          <w:szCs w:val="28"/>
        </w:rPr>
      </w:pPr>
      <w:r>
        <w:rPr>
          <w:rFonts w:hint="eastAsia" w:ascii="仿宋" w:hAnsi="仿宋" w:eastAsia="仿宋" w:cs="仿宋"/>
          <w:sz w:val="28"/>
          <w:szCs w:val="28"/>
        </w:rPr>
        <w:t>（2）经评审后，如合格的投标人少于三个且评标委员会评定为仍具有竞争的，评标</w:t>
      </w:r>
      <w:r>
        <w:rPr>
          <w:rFonts w:hint="eastAsia" w:ascii="仿宋" w:hAnsi="仿宋" w:eastAsia="仿宋" w:cs="仿宋"/>
          <w:snapToGrid w:val="0"/>
          <w:kern w:val="0"/>
          <w:sz w:val="28"/>
          <w:szCs w:val="28"/>
        </w:rPr>
        <w:t>委员会可以继续进行评审，并按招标文件规定推荐中标候选人。如合格的投标人少于三个的，且明显缺乏竞争的，评标委员会可以否决全部投标，招标人将按照我校招投标管理办法的相关规定执行。</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r>
        <w:rPr>
          <w:rFonts w:hint="eastAsia" w:ascii="方正黑体_GBK" w:hAnsi="方正黑体_GBK" w:eastAsia="方正黑体_GBK" w:cs="方正黑体_GBK"/>
          <w:b/>
          <w:snapToGrid w:val="0"/>
          <w:kern w:val="0"/>
          <w:szCs w:val="24"/>
          <w:lang w:val="zh-CN"/>
        </w:rPr>
        <w:t>8.2 不再招标</w:t>
      </w:r>
      <w:bookmarkEnd w:id="234"/>
      <w:bookmarkEnd w:id="235"/>
      <w:bookmarkEnd w:id="236"/>
      <w:bookmarkEnd w:id="237"/>
      <w:bookmarkEnd w:id="238"/>
    </w:p>
    <w:p>
      <w:pPr>
        <w:autoSpaceDE w:val="0"/>
        <w:autoSpaceDN w:val="0"/>
        <w:adjustRightInd w:val="0"/>
        <w:snapToGrid w:val="0"/>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重新招标后投标人仍少于三个或者所有投标被否决的，属于必须审批或核准的工程建设项目，经原审批或核准部门批准后不再进行招标。</w:t>
      </w:r>
    </w:p>
    <w:p>
      <w:pPr>
        <w:autoSpaceDE w:val="0"/>
        <w:autoSpaceDN w:val="0"/>
        <w:adjustRightInd w:val="0"/>
        <w:snapToGrid w:val="0"/>
        <w:spacing w:line="520" w:lineRule="exact"/>
        <w:jc w:val="left"/>
        <w:outlineLvl w:val="1"/>
        <w:rPr>
          <w:rFonts w:ascii="方正黑体_GBK" w:hAnsi="方正黑体_GBK" w:eastAsia="方正黑体_GBK" w:cs="方正黑体_GBK"/>
          <w:b/>
          <w:snapToGrid w:val="0"/>
          <w:w w:val="99"/>
          <w:kern w:val="0"/>
          <w:sz w:val="28"/>
          <w:szCs w:val="28"/>
          <w:lang w:val="zh-CN"/>
        </w:rPr>
      </w:pPr>
      <w:bookmarkStart w:id="239" w:name="_Toc334774207"/>
      <w:bookmarkStart w:id="240" w:name="_Toc200513172"/>
      <w:bookmarkStart w:id="241" w:name="_Toc11895"/>
      <w:bookmarkStart w:id="242" w:name="_Toc317863467"/>
      <w:bookmarkStart w:id="243" w:name="_Toc531594773"/>
      <w:r>
        <w:rPr>
          <w:rFonts w:hint="eastAsia" w:ascii="方正黑体_GBK" w:hAnsi="方正黑体_GBK" w:eastAsia="方正黑体_GBK" w:cs="方正黑体_GBK"/>
          <w:b/>
          <w:snapToGrid w:val="0"/>
          <w:w w:val="99"/>
          <w:kern w:val="0"/>
          <w:sz w:val="28"/>
          <w:szCs w:val="28"/>
          <w:lang w:val="zh-CN"/>
        </w:rPr>
        <w:t>9.纪律和监督</w:t>
      </w:r>
      <w:bookmarkEnd w:id="239"/>
      <w:bookmarkEnd w:id="240"/>
      <w:bookmarkEnd w:id="241"/>
      <w:bookmarkEnd w:id="242"/>
      <w:bookmarkEnd w:id="243"/>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244" w:name="_Toc325636626"/>
      <w:bookmarkStart w:id="245" w:name="_Toc334774208"/>
      <w:bookmarkStart w:id="246" w:name="_Toc531594774"/>
      <w:bookmarkStart w:id="247" w:name="_Toc200513173"/>
      <w:bookmarkStart w:id="248" w:name="_Toc317863468"/>
      <w:bookmarkStart w:id="249" w:name="_Toc1463"/>
      <w:r>
        <w:rPr>
          <w:rFonts w:hint="eastAsia" w:ascii="方正黑体_GBK" w:hAnsi="方正黑体_GBK" w:eastAsia="方正黑体_GBK" w:cs="方正黑体_GBK"/>
          <w:b/>
          <w:snapToGrid w:val="0"/>
          <w:kern w:val="0"/>
          <w:szCs w:val="24"/>
          <w:lang w:val="zh-CN"/>
        </w:rPr>
        <w:t>9.1 对招标人的纪律要求</w:t>
      </w:r>
      <w:bookmarkEnd w:id="244"/>
      <w:bookmarkEnd w:id="245"/>
      <w:bookmarkEnd w:id="246"/>
      <w:bookmarkEnd w:id="247"/>
      <w:bookmarkEnd w:id="248"/>
      <w:bookmarkEnd w:id="249"/>
    </w:p>
    <w:p>
      <w:pPr>
        <w:autoSpaceDE w:val="0"/>
        <w:autoSpaceDN w:val="0"/>
        <w:adjustRightInd w:val="0"/>
        <w:snapToGrid w:val="0"/>
        <w:spacing w:line="520" w:lineRule="exact"/>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招标人不得泄漏招标投标活动中应当保密的情况和资料，不得与投标人串通损害国家利益、社会公共利益或者他人合法权益。</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250" w:name="_Toc531594775"/>
      <w:bookmarkStart w:id="251" w:name="_Toc317863469"/>
      <w:bookmarkStart w:id="252" w:name="_Toc334774209"/>
      <w:bookmarkStart w:id="253" w:name="_Toc270"/>
      <w:bookmarkStart w:id="254" w:name="_Toc325636627"/>
      <w:bookmarkStart w:id="255" w:name="_Toc200513174"/>
      <w:r>
        <w:rPr>
          <w:rFonts w:hint="eastAsia" w:ascii="方正黑体_GBK" w:hAnsi="方正黑体_GBK" w:eastAsia="方正黑体_GBK" w:cs="方正黑体_GBK"/>
          <w:b/>
          <w:snapToGrid w:val="0"/>
          <w:kern w:val="0"/>
          <w:szCs w:val="24"/>
          <w:lang w:val="zh-CN"/>
        </w:rPr>
        <w:t>9.2 对投标人的纪律要求</w:t>
      </w:r>
      <w:bookmarkEnd w:id="250"/>
      <w:bookmarkEnd w:id="251"/>
      <w:bookmarkEnd w:id="252"/>
      <w:bookmarkEnd w:id="253"/>
      <w:bookmarkEnd w:id="254"/>
      <w:bookmarkEnd w:id="255"/>
    </w:p>
    <w:p>
      <w:pPr>
        <w:autoSpaceDE w:val="0"/>
        <w:autoSpaceDN w:val="0"/>
        <w:adjustRightInd w:val="0"/>
        <w:snapToGrid w:val="0"/>
        <w:spacing w:line="52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256" w:name="_Toc23543"/>
      <w:bookmarkStart w:id="257" w:name="_Toc317863470"/>
      <w:bookmarkStart w:id="258" w:name="_Toc325636628"/>
      <w:bookmarkStart w:id="259" w:name="_Toc531594776"/>
      <w:bookmarkStart w:id="260" w:name="_Toc200513175"/>
      <w:bookmarkStart w:id="261" w:name="_Toc334774210"/>
      <w:r>
        <w:rPr>
          <w:rFonts w:hint="eastAsia" w:ascii="方正黑体_GBK" w:hAnsi="方正黑体_GBK" w:eastAsia="方正黑体_GBK" w:cs="方正黑体_GBK"/>
          <w:b/>
          <w:snapToGrid w:val="0"/>
          <w:kern w:val="0"/>
          <w:szCs w:val="24"/>
          <w:lang w:val="zh-CN"/>
        </w:rPr>
        <w:t>9.3 对评标委员会成员的纪律要求</w:t>
      </w:r>
      <w:bookmarkEnd w:id="256"/>
      <w:bookmarkEnd w:id="257"/>
      <w:bookmarkEnd w:id="258"/>
      <w:bookmarkEnd w:id="259"/>
      <w:bookmarkEnd w:id="260"/>
      <w:bookmarkEnd w:id="261"/>
    </w:p>
    <w:p>
      <w:pPr>
        <w:autoSpaceDE w:val="0"/>
        <w:autoSpaceDN w:val="0"/>
        <w:adjustRightInd w:val="0"/>
        <w:snapToGrid w:val="0"/>
        <w:spacing w:line="52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262" w:name="_Toc325636629"/>
      <w:bookmarkStart w:id="263" w:name="_Toc531594777"/>
      <w:bookmarkStart w:id="264" w:name="_Toc317863471"/>
      <w:bookmarkStart w:id="265" w:name="_Toc18783"/>
      <w:bookmarkStart w:id="266" w:name="_Toc13285"/>
      <w:bookmarkStart w:id="267" w:name="_Toc334774211"/>
      <w:bookmarkStart w:id="268" w:name="_Toc200513176"/>
      <w:r>
        <w:rPr>
          <w:rFonts w:hint="eastAsia" w:ascii="方正黑体_GBK" w:hAnsi="方正黑体_GBK" w:eastAsia="方正黑体_GBK" w:cs="方正黑体_GBK"/>
          <w:b/>
          <w:snapToGrid w:val="0"/>
          <w:kern w:val="0"/>
          <w:szCs w:val="24"/>
          <w:lang w:val="zh-CN"/>
        </w:rPr>
        <w:t>9.4 对与评标活动有关的工作人员的纪律要求</w:t>
      </w:r>
      <w:bookmarkEnd w:id="262"/>
      <w:bookmarkEnd w:id="263"/>
      <w:bookmarkEnd w:id="264"/>
      <w:bookmarkEnd w:id="265"/>
      <w:bookmarkEnd w:id="266"/>
      <w:bookmarkEnd w:id="267"/>
      <w:bookmarkEnd w:id="268"/>
    </w:p>
    <w:p>
      <w:pPr>
        <w:autoSpaceDE w:val="0"/>
        <w:autoSpaceDN w:val="0"/>
        <w:adjustRightInd w:val="0"/>
        <w:snapToGrid w:val="0"/>
        <w:spacing w:line="52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before="16" w:line="520" w:lineRule="exact"/>
        <w:jc w:val="left"/>
        <w:outlineLvl w:val="2"/>
        <w:rPr>
          <w:rFonts w:ascii="方正黑体_GBK" w:hAnsi="方正黑体_GBK" w:eastAsia="方正黑体_GBK" w:cs="方正黑体_GBK"/>
          <w:b/>
          <w:snapToGrid w:val="0"/>
          <w:kern w:val="0"/>
          <w:szCs w:val="24"/>
          <w:lang w:val="zh-CN"/>
        </w:rPr>
      </w:pPr>
      <w:bookmarkStart w:id="269" w:name="_Toc325636630"/>
      <w:bookmarkStart w:id="270" w:name="_Toc531594778"/>
      <w:bookmarkStart w:id="271" w:name="_Toc13124"/>
      <w:bookmarkStart w:id="272" w:name="_Toc200513177"/>
      <w:bookmarkStart w:id="273" w:name="_Toc334774212"/>
      <w:bookmarkStart w:id="274" w:name="_Toc17360"/>
      <w:bookmarkStart w:id="275" w:name="_Toc317863472"/>
      <w:r>
        <w:rPr>
          <w:rFonts w:hint="eastAsia" w:ascii="方正黑体_GBK" w:hAnsi="方正黑体_GBK" w:eastAsia="方正黑体_GBK" w:cs="方正黑体_GBK"/>
          <w:b/>
          <w:snapToGrid w:val="0"/>
          <w:kern w:val="0"/>
          <w:szCs w:val="24"/>
          <w:lang w:val="zh-CN"/>
        </w:rPr>
        <w:t>9.5 投诉</w:t>
      </w:r>
      <w:bookmarkEnd w:id="269"/>
      <w:bookmarkEnd w:id="270"/>
      <w:bookmarkEnd w:id="271"/>
      <w:bookmarkEnd w:id="272"/>
      <w:bookmarkEnd w:id="273"/>
      <w:bookmarkEnd w:id="274"/>
      <w:bookmarkEnd w:id="275"/>
    </w:p>
    <w:p>
      <w:pPr>
        <w:autoSpaceDE w:val="0"/>
        <w:autoSpaceDN w:val="0"/>
        <w:adjustRightInd w:val="0"/>
        <w:snapToGrid w:val="0"/>
        <w:spacing w:line="52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投标人和其他利害关系人认为本次招标活动违反法律、法规和规章规定的，有权向学院党政办公室，或学院有关行政监督部门投诉。</w:t>
      </w:r>
    </w:p>
    <w:p>
      <w:pPr>
        <w:autoSpaceDE w:val="0"/>
        <w:autoSpaceDN w:val="0"/>
        <w:adjustRightInd w:val="0"/>
        <w:snapToGrid w:val="0"/>
        <w:spacing w:line="520" w:lineRule="exact"/>
        <w:jc w:val="left"/>
        <w:outlineLvl w:val="1"/>
        <w:rPr>
          <w:rFonts w:ascii="方正黑体_GBK" w:hAnsi="方正黑体_GBK" w:eastAsia="方正黑体_GBK" w:cs="方正黑体_GBK"/>
          <w:b/>
          <w:snapToGrid w:val="0"/>
          <w:w w:val="99"/>
          <w:kern w:val="0"/>
          <w:sz w:val="28"/>
          <w:szCs w:val="28"/>
          <w:lang w:val="zh-CN"/>
        </w:rPr>
      </w:pPr>
      <w:bookmarkStart w:id="276" w:name="_Toc6107"/>
      <w:bookmarkStart w:id="277" w:name="_Toc334774213"/>
      <w:bookmarkStart w:id="278" w:name="_Toc531594779"/>
      <w:bookmarkStart w:id="279" w:name="_Toc14201"/>
      <w:r>
        <w:rPr>
          <w:rFonts w:hint="eastAsia" w:ascii="方正黑体_GBK" w:hAnsi="方正黑体_GBK" w:eastAsia="方正黑体_GBK" w:cs="方正黑体_GBK"/>
          <w:b/>
          <w:snapToGrid w:val="0"/>
          <w:w w:val="99"/>
          <w:kern w:val="0"/>
          <w:sz w:val="28"/>
          <w:szCs w:val="28"/>
          <w:lang w:val="zh-CN"/>
        </w:rPr>
        <w:t>10. 其他</w:t>
      </w:r>
      <w:bookmarkEnd w:id="276"/>
      <w:bookmarkEnd w:id="277"/>
      <w:bookmarkEnd w:id="278"/>
      <w:bookmarkEnd w:id="279"/>
    </w:p>
    <w:p>
      <w:pPr>
        <w:autoSpaceDE w:val="0"/>
        <w:autoSpaceDN w:val="0"/>
        <w:adjustRightInd w:val="0"/>
        <w:snapToGrid w:val="0"/>
        <w:spacing w:line="520" w:lineRule="exact"/>
        <w:ind w:left="420"/>
        <w:rPr>
          <w:rFonts w:ascii="仿宋_GB2312" w:hAnsi="宋体" w:eastAsia="仿宋_GB2312" w:cs="Times New Roman"/>
          <w:snapToGrid w:val="0"/>
          <w:kern w:val="0"/>
          <w:sz w:val="21"/>
          <w:szCs w:val="21"/>
        </w:rPr>
      </w:pPr>
      <w:r>
        <w:rPr>
          <w:rFonts w:hint="eastAsia" w:ascii="仿宋" w:hAnsi="仿宋" w:eastAsia="仿宋" w:cs="仿宋"/>
          <w:snapToGrid w:val="0"/>
          <w:kern w:val="0"/>
          <w:sz w:val="28"/>
          <w:szCs w:val="28"/>
        </w:rPr>
        <w:t>其他补充内容要求见投标人需知内容和前附表。</w:t>
      </w:r>
    </w:p>
    <w:p>
      <w:pPr>
        <w:autoSpaceDE w:val="0"/>
        <w:autoSpaceDN w:val="0"/>
        <w:adjustRightInd w:val="0"/>
        <w:snapToGrid w:val="0"/>
        <w:spacing w:line="52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pStyle w:val="2"/>
        <w:numPr>
          <w:ilvl w:val="0"/>
          <w:numId w:val="0"/>
        </w:numPr>
        <w:spacing w:before="0" w:after="0" w:line="240" w:lineRule="auto"/>
        <w:jc w:val="center"/>
        <w:rPr>
          <w:rFonts w:ascii="仿宋" w:hAnsi="仿宋" w:eastAsia="仿宋" w:cs="仿宋"/>
        </w:rPr>
      </w:pPr>
      <w:bookmarkStart w:id="280" w:name="_Toc68886994"/>
      <w:r>
        <w:rPr>
          <w:rFonts w:hint="eastAsia" w:ascii="仿宋" w:hAnsi="仿宋" w:eastAsia="仿宋" w:cs="仿宋"/>
        </w:rPr>
        <w:t>第三章 招标数量及参数要求</w:t>
      </w:r>
      <w:bookmarkEnd w:id="280"/>
    </w:p>
    <w:p/>
    <w:p>
      <w:pPr>
        <w:pStyle w:val="3"/>
        <w:numPr>
          <w:ilvl w:val="0"/>
          <w:numId w:val="0"/>
        </w:numPr>
        <w:spacing w:line="240" w:lineRule="auto"/>
        <w:rPr>
          <w:rFonts w:ascii="仿宋" w:hAnsi="仿宋" w:eastAsia="仿宋" w:cs="仿宋"/>
          <w:sz w:val="28"/>
          <w:szCs w:val="28"/>
        </w:rPr>
      </w:pPr>
      <w:r>
        <w:rPr>
          <w:rFonts w:hint="eastAsia" w:ascii="仿宋" w:hAnsi="仿宋" w:eastAsia="仿宋" w:cs="仿宋"/>
          <w:sz w:val="28"/>
          <w:szCs w:val="28"/>
        </w:rPr>
        <w:t>一、项目名称及数量</w:t>
      </w:r>
    </w:p>
    <w:tbl>
      <w:tblPr>
        <w:tblStyle w:val="4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7"/>
        <w:gridCol w:w="4858"/>
        <w:gridCol w:w="1785"/>
        <w:gridCol w:w="1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9" w:type="pct"/>
            <w:tcBorders>
              <w:top w:val="single" w:color="000000" w:sz="4" w:space="0"/>
              <w:left w:val="single" w:color="000000" w:sz="4" w:space="0"/>
              <w:bottom w:val="single" w:color="000000" w:sz="4" w:space="0"/>
              <w:right w:val="single" w:color="000000" w:sz="4" w:space="0"/>
            </w:tcBorders>
            <w:vAlign w:val="center"/>
          </w:tcPr>
          <w:p>
            <w:pPr>
              <w:spacing w:line="360" w:lineRule="atLeast"/>
              <w:jc w:val="center"/>
              <w:rPr>
                <w:rFonts w:ascii="宋体" w:hAnsi="宋体" w:cs="宋体"/>
                <w:b/>
                <w:sz w:val="21"/>
                <w:szCs w:val="21"/>
              </w:rPr>
            </w:pPr>
            <w:r>
              <w:rPr>
                <w:rFonts w:hint="eastAsia" w:ascii="宋体" w:hAnsi="宋体" w:cs="宋体"/>
                <w:b/>
                <w:sz w:val="21"/>
                <w:szCs w:val="21"/>
              </w:rPr>
              <w:t>序号</w:t>
            </w:r>
          </w:p>
        </w:tc>
        <w:tc>
          <w:tcPr>
            <w:tcW w:w="2536" w:type="pct"/>
            <w:tcBorders>
              <w:top w:val="single" w:color="000000" w:sz="4" w:space="0"/>
              <w:left w:val="single" w:color="000000" w:sz="4" w:space="0"/>
              <w:bottom w:val="single" w:color="000000" w:sz="4" w:space="0"/>
              <w:right w:val="single" w:color="000000" w:sz="4" w:space="0"/>
            </w:tcBorders>
            <w:vAlign w:val="center"/>
          </w:tcPr>
          <w:p>
            <w:pPr>
              <w:spacing w:line="360" w:lineRule="atLeast"/>
              <w:jc w:val="center"/>
              <w:rPr>
                <w:rFonts w:ascii="宋体" w:hAnsi="宋体" w:cs="宋体"/>
                <w:b/>
                <w:sz w:val="21"/>
                <w:szCs w:val="21"/>
              </w:rPr>
            </w:pPr>
            <w:r>
              <w:rPr>
                <w:rFonts w:hint="eastAsia" w:ascii="宋体" w:hAnsi="宋体" w:cs="宋体"/>
                <w:b/>
                <w:sz w:val="21"/>
                <w:szCs w:val="21"/>
              </w:rPr>
              <w:t>名称</w:t>
            </w:r>
          </w:p>
        </w:tc>
        <w:tc>
          <w:tcPr>
            <w:tcW w:w="932" w:type="pct"/>
            <w:tcBorders>
              <w:top w:val="single" w:color="000000" w:sz="4" w:space="0"/>
              <w:left w:val="single" w:color="000000" w:sz="4" w:space="0"/>
              <w:bottom w:val="single" w:color="000000" w:sz="4" w:space="0"/>
              <w:right w:val="single" w:color="auto" w:sz="4" w:space="0"/>
            </w:tcBorders>
            <w:vAlign w:val="center"/>
          </w:tcPr>
          <w:p>
            <w:pPr>
              <w:spacing w:line="360" w:lineRule="atLeast"/>
              <w:jc w:val="center"/>
              <w:rPr>
                <w:rFonts w:ascii="宋体" w:hAnsi="宋体" w:cs="宋体"/>
                <w:b/>
                <w:sz w:val="21"/>
                <w:szCs w:val="21"/>
              </w:rPr>
            </w:pPr>
            <w:r>
              <w:rPr>
                <w:rFonts w:hint="eastAsia" w:ascii="宋体" w:hAnsi="宋体" w:cs="宋体"/>
                <w:b/>
                <w:sz w:val="21"/>
                <w:szCs w:val="21"/>
              </w:rPr>
              <w:t>数量</w:t>
            </w:r>
          </w:p>
        </w:tc>
        <w:tc>
          <w:tcPr>
            <w:tcW w:w="932" w:type="pct"/>
            <w:tcBorders>
              <w:top w:val="single" w:color="000000" w:sz="4" w:space="0"/>
              <w:left w:val="single" w:color="000000" w:sz="4" w:space="0"/>
              <w:bottom w:val="single" w:color="000000" w:sz="4" w:space="0"/>
              <w:right w:val="single" w:color="auto" w:sz="4" w:space="0"/>
            </w:tcBorders>
          </w:tcPr>
          <w:p>
            <w:pPr>
              <w:spacing w:line="360" w:lineRule="atLeast"/>
              <w:jc w:val="center"/>
              <w:rPr>
                <w:rFonts w:ascii="宋体" w:hAnsi="宋体" w:cs="宋体"/>
                <w:b/>
                <w:sz w:val="21"/>
                <w:szCs w:val="21"/>
              </w:rPr>
            </w:pPr>
            <w:r>
              <w:rPr>
                <w:rFonts w:hint="eastAsia" w:ascii="宋体" w:hAnsi="宋体" w:cs="宋体"/>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9" w:type="pct"/>
            <w:tcBorders>
              <w:top w:val="single" w:color="000000" w:sz="4" w:space="0"/>
              <w:left w:val="single" w:color="000000" w:sz="4" w:space="0"/>
              <w:bottom w:val="single" w:color="000000" w:sz="4" w:space="0"/>
              <w:right w:val="single" w:color="000000" w:sz="4" w:space="0"/>
            </w:tcBorders>
            <w:vAlign w:val="center"/>
          </w:tcPr>
          <w:p>
            <w:pPr>
              <w:spacing w:line="360" w:lineRule="atLeast"/>
              <w:jc w:val="center"/>
              <w:rPr>
                <w:rFonts w:ascii="宋体" w:hAnsi="宋体" w:cs="宋体"/>
                <w:sz w:val="21"/>
                <w:szCs w:val="21"/>
              </w:rPr>
            </w:pPr>
            <w:r>
              <w:rPr>
                <w:rFonts w:hint="eastAsia" w:ascii="宋体" w:hAnsi="宋体" w:cs="宋体"/>
                <w:sz w:val="21"/>
                <w:szCs w:val="21"/>
              </w:rPr>
              <w:t>1</w:t>
            </w:r>
          </w:p>
        </w:tc>
        <w:tc>
          <w:tcPr>
            <w:tcW w:w="2536" w:type="pct"/>
            <w:tcBorders>
              <w:top w:val="single" w:color="000000" w:sz="4" w:space="0"/>
              <w:left w:val="single" w:color="000000" w:sz="4" w:space="0"/>
              <w:bottom w:val="single" w:color="000000" w:sz="4" w:space="0"/>
              <w:right w:val="single" w:color="000000" w:sz="4" w:space="0"/>
            </w:tcBorders>
            <w:vAlign w:val="center"/>
          </w:tcPr>
          <w:p>
            <w:pPr>
              <w:spacing w:line="360" w:lineRule="atLeast"/>
              <w:jc w:val="center"/>
              <w:rPr>
                <w:rFonts w:ascii="宋体" w:hAnsi="宋体" w:cs="宋体"/>
                <w:sz w:val="21"/>
                <w:szCs w:val="21"/>
              </w:rPr>
            </w:pPr>
            <w:r>
              <w:rPr>
                <w:rFonts w:hint="eastAsia" w:ascii="宋体" w:hAnsi="宋体" w:cs="宋体"/>
                <w:sz w:val="21"/>
                <w:szCs w:val="21"/>
              </w:rPr>
              <w:t>区块链金融应用实践平台</w:t>
            </w:r>
          </w:p>
        </w:tc>
        <w:tc>
          <w:tcPr>
            <w:tcW w:w="932" w:type="pct"/>
            <w:tcBorders>
              <w:top w:val="single" w:color="000000" w:sz="4" w:space="0"/>
              <w:left w:val="single" w:color="000000" w:sz="4" w:space="0"/>
              <w:bottom w:val="single" w:color="000000" w:sz="4" w:space="0"/>
              <w:right w:val="single" w:color="auto" w:sz="4" w:space="0"/>
            </w:tcBorders>
            <w:vAlign w:val="center"/>
          </w:tcPr>
          <w:p>
            <w:pPr>
              <w:spacing w:line="360" w:lineRule="atLeast"/>
              <w:jc w:val="center"/>
              <w:rPr>
                <w:rFonts w:ascii="宋体" w:hAnsi="宋体" w:cs="宋体"/>
                <w:sz w:val="21"/>
                <w:szCs w:val="21"/>
              </w:rPr>
            </w:pPr>
            <w:r>
              <w:rPr>
                <w:rFonts w:hint="eastAsia" w:ascii="宋体" w:hAnsi="宋体" w:cs="宋体"/>
                <w:sz w:val="21"/>
                <w:szCs w:val="21"/>
              </w:rPr>
              <w:t>1套</w:t>
            </w:r>
          </w:p>
        </w:tc>
        <w:tc>
          <w:tcPr>
            <w:tcW w:w="932" w:type="pct"/>
            <w:tcBorders>
              <w:top w:val="single" w:color="000000" w:sz="4" w:space="0"/>
              <w:left w:val="single" w:color="000000" w:sz="4" w:space="0"/>
              <w:bottom w:val="single" w:color="000000" w:sz="4" w:space="0"/>
              <w:right w:val="single" w:color="auto" w:sz="4" w:space="0"/>
            </w:tcBorders>
          </w:tcPr>
          <w:p>
            <w:pPr>
              <w:spacing w:line="360" w:lineRule="atLeast"/>
              <w:jc w:val="center"/>
              <w:rPr>
                <w:rFonts w:ascii="宋体" w:hAnsi="宋体" w:cs="宋体"/>
                <w:sz w:val="21"/>
                <w:szCs w:val="21"/>
              </w:rPr>
            </w:pPr>
            <w:r>
              <w:rPr>
                <w:rFonts w:hint="eastAsia" w:ascii="宋体" w:hAnsi="宋体" w:cs="宋体"/>
                <w:sz w:val="21"/>
                <w:szCs w:val="21"/>
              </w:rPr>
              <w:t>150站点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9" w:type="pct"/>
            <w:tcBorders>
              <w:top w:val="single" w:color="000000" w:sz="4" w:space="0"/>
              <w:left w:val="single" w:color="000000" w:sz="4" w:space="0"/>
              <w:bottom w:val="single" w:color="000000" w:sz="4" w:space="0"/>
              <w:right w:val="single" w:color="000000" w:sz="4" w:space="0"/>
            </w:tcBorders>
            <w:vAlign w:val="center"/>
          </w:tcPr>
          <w:p>
            <w:pPr>
              <w:spacing w:line="360" w:lineRule="atLeast"/>
              <w:jc w:val="center"/>
              <w:rPr>
                <w:rFonts w:ascii="宋体" w:hAnsi="宋体" w:cs="宋体"/>
                <w:sz w:val="21"/>
                <w:szCs w:val="21"/>
              </w:rPr>
            </w:pPr>
            <w:r>
              <w:rPr>
                <w:rFonts w:hint="eastAsia" w:ascii="宋体" w:hAnsi="宋体" w:cs="宋体"/>
                <w:sz w:val="21"/>
                <w:szCs w:val="21"/>
              </w:rPr>
              <w:t>2</w:t>
            </w:r>
          </w:p>
        </w:tc>
        <w:tc>
          <w:tcPr>
            <w:tcW w:w="2536" w:type="pct"/>
            <w:tcBorders>
              <w:top w:val="single" w:color="000000" w:sz="4" w:space="0"/>
              <w:left w:val="single" w:color="000000" w:sz="4" w:space="0"/>
              <w:bottom w:val="single" w:color="000000" w:sz="4" w:space="0"/>
              <w:right w:val="single" w:color="000000" w:sz="4" w:space="0"/>
            </w:tcBorders>
            <w:vAlign w:val="center"/>
          </w:tcPr>
          <w:p>
            <w:pPr>
              <w:spacing w:line="360" w:lineRule="atLeast"/>
              <w:jc w:val="center"/>
              <w:rPr>
                <w:rFonts w:ascii="宋体" w:hAnsi="宋体" w:cs="宋体"/>
                <w:sz w:val="21"/>
                <w:szCs w:val="21"/>
              </w:rPr>
            </w:pPr>
            <w:r>
              <w:rPr>
                <w:rFonts w:hint="eastAsia" w:ascii="宋体" w:hAnsi="宋体" w:cs="宋体"/>
                <w:sz w:val="21"/>
                <w:szCs w:val="21"/>
              </w:rPr>
              <w:t>智能金融服务机器人</w:t>
            </w:r>
          </w:p>
        </w:tc>
        <w:tc>
          <w:tcPr>
            <w:tcW w:w="932" w:type="pct"/>
            <w:tcBorders>
              <w:top w:val="single" w:color="000000" w:sz="4" w:space="0"/>
              <w:left w:val="single" w:color="000000" w:sz="4" w:space="0"/>
              <w:bottom w:val="single" w:color="000000" w:sz="4" w:space="0"/>
              <w:right w:val="single" w:color="auto" w:sz="4" w:space="0"/>
            </w:tcBorders>
            <w:vAlign w:val="center"/>
          </w:tcPr>
          <w:p>
            <w:pPr>
              <w:spacing w:line="360" w:lineRule="atLeast"/>
              <w:jc w:val="center"/>
              <w:rPr>
                <w:rFonts w:ascii="宋体" w:hAnsi="宋体" w:cs="宋体"/>
                <w:sz w:val="21"/>
                <w:szCs w:val="21"/>
              </w:rPr>
            </w:pPr>
            <w:r>
              <w:rPr>
                <w:rFonts w:hint="eastAsia" w:ascii="宋体" w:hAnsi="宋体" w:cs="宋体"/>
                <w:sz w:val="21"/>
                <w:szCs w:val="21"/>
              </w:rPr>
              <w:t>1套</w:t>
            </w:r>
          </w:p>
        </w:tc>
        <w:tc>
          <w:tcPr>
            <w:tcW w:w="932" w:type="pct"/>
            <w:tcBorders>
              <w:top w:val="single" w:color="000000" w:sz="4" w:space="0"/>
              <w:left w:val="single" w:color="000000" w:sz="4" w:space="0"/>
              <w:bottom w:val="single" w:color="000000" w:sz="4" w:space="0"/>
              <w:right w:val="single" w:color="auto" w:sz="4" w:space="0"/>
            </w:tcBorders>
          </w:tcPr>
          <w:p>
            <w:pPr>
              <w:spacing w:line="360" w:lineRule="atLeast"/>
              <w:jc w:val="center"/>
              <w:rPr>
                <w:rFonts w:ascii="宋体" w:hAnsi="宋体" w:cs="宋体"/>
                <w:sz w:val="21"/>
                <w:szCs w:val="21"/>
              </w:rPr>
            </w:pPr>
          </w:p>
        </w:tc>
      </w:tr>
    </w:tbl>
    <w:p>
      <w:pPr>
        <w:pStyle w:val="3"/>
        <w:numPr>
          <w:ilvl w:val="0"/>
          <w:numId w:val="0"/>
        </w:numPr>
        <w:spacing w:line="240" w:lineRule="auto"/>
        <w:ind w:left="576" w:hanging="576"/>
        <w:rPr>
          <w:rFonts w:ascii="仿宋" w:hAnsi="仿宋" w:eastAsia="仿宋" w:cs="仿宋"/>
          <w:sz w:val="28"/>
          <w:szCs w:val="28"/>
        </w:rPr>
      </w:pPr>
      <w:r>
        <w:rPr>
          <w:rFonts w:hint="eastAsia" w:ascii="仿宋" w:hAnsi="仿宋" w:eastAsia="仿宋" w:cs="仿宋"/>
          <w:sz w:val="28"/>
          <w:szCs w:val="28"/>
        </w:rPr>
        <w:t>二、项目技术要求</w:t>
      </w:r>
    </w:p>
    <w:tbl>
      <w:tblPr>
        <w:tblStyle w:val="4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3"/>
        <w:gridCol w:w="1971"/>
        <w:gridCol w:w="6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9" w:type="pct"/>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ascii="宋体" w:hAnsi="宋体" w:cs="宋体"/>
                <w:b/>
                <w:sz w:val="21"/>
                <w:szCs w:val="21"/>
              </w:rPr>
            </w:pPr>
            <w:r>
              <w:rPr>
                <w:rFonts w:hint="eastAsia" w:ascii="宋体" w:hAnsi="宋体" w:cs="宋体"/>
                <w:b/>
                <w:sz w:val="21"/>
                <w:szCs w:val="21"/>
              </w:rPr>
              <w:t>序号</w:t>
            </w:r>
          </w:p>
        </w:tc>
        <w:tc>
          <w:tcPr>
            <w:tcW w:w="1029" w:type="pct"/>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ascii="宋体" w:hAnsi="宋体" w:cs="宋体"/>
                <w:b/>
                <w:sz w:val="21"/>
                <w:szCs w:val="21"/>
              </w:rPr>
            </w:pPr>
            <w:r>
              <w:rPr>
                <w:rFonts w:hint="eastAsia" w:ascii="宋体" w:hAnsi="宋体" w:cs="宋体"/>
                <w:b/>
                <w:sz w:val="21"/>
                <w:szCs w:val="21"/>
              </w:rPr>
              <w:t>名称</w:t>
            </w:r>
          </w:p>
        </w:tc>
        <w:tc>
          <w:tcPr>
            <w:tcW w:w="3562" w:type="pct"/>
            <w:tcBorders>
              <w:top w:val="single" w:color="000000" w:sz="4" w:space="0"/>
              <w:left w:val="single" w:color="000000" w:sz="4" w:space="0"/>
              <w:bottom w:val="single" w:color="000000" w:sz="4" w:space="0"/>
              <w:right w:val="single" w:color="auto" w:sz="4" w:space="0"/>
            </w:tcBorders>
            <w:vAlign w:val="center"/>
          </w:tcPr>
          <w:p>
            <w:pPr>
              <w:spacing w:line="520" w:lineRule="exact"/>
              <w:jc w:val="center"/>
              <w:rPr>
                <w:rFonts w:ascii="宋体" w:hAnsi="宋体" w:cs="宋体"/>
                <w:b/>
                <w:sz w:val="21"/>
                <w:szCs w:val="21"/>
              </w:rPr>
            </w:pPr>
            <w:r>
              <w:rPr>
                <w:rFonts w:hint="eastAsia" w:ascii="宋体" w:hAnsi="宋体" w:cs="宋体"/>
                <w:b/>
                <w:sz w:val="21"/>
                <w:szCs w:val="21"/>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9" w:type="pct"/>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ascii="宋体" w:hAnsi="宋体" w:cs="宋体"/>
                <w:sz w:val="21"/>
                <w:szCs w:val="21"/>
              </w:rPr>
            </w:pPr>
            <w:r>
              <w:rPr>
                <w:rFonts w:hint="eastAsia" w:ascii="宋体" w:hAnsi="宋体" w:cs="宋体"/>
                <w:sz w:val="21"/>
                <w:szCs w:val="21"/>
              </w:rPr>
              <w:t>1</w:t>
            </w:r>
          </w:p>
        </w:tc>
        <w:tc>
          <w:tcPr>
            <w:tcW w:w="1029" w:type="pct"/>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ascii="宋体" w:hAnsi="宋体" w:cs="宋体"/>
                <w:sz w:val="21"/>
                <w:szCs w:val="21"/>
              </w:rPr>
            </w:pPr>
            <w:r>
              <w:rPr>
                <w:rFonts w:hint="eastAsia" w:ascii="宋体" w:hAnsi="宋体" w:cs="宋体"/>
                <w:sz w:val="21"/>
                <w:szCs w:val="21"/>
              </w:rPr>
              <w:t>区块链金融应用实践平台</w:t>
            </w:r>
          </w:p>
        </w:tc>
        <w:tc>
          <w:tcPr>
            <w:tcW w:w="3562" w:type="pct"/>
            <w:tcBorders>
              <w:top w:val="single" w:color="000000" w:sz="4" w:space="0"/>
              <w:left w:val="single" w:color="000000" w:sz="4" w:space="0"/>
              <w:bottom w:val="single" w:color="000000" w:sz="4" w:space="0"/>
              <w:right w:val="single" w:color="auto" w:sz="4" w:space="0"/>
            </w:tcBorders>
          </w:tcPr>
          <w:p>
            <w:pPr>
              <w:spacing w:line="520" w:lineRule="exact"/>
              <w:rPr>
                <w:rFonts w:ascii="宋体" w:hAnsi="宋体" w:cs="宋体"/>
                <w:b/>
                <w:sz w:val="21"/>
                <w:szCs w:val="21"/>
              </w:rPr>
            </w:pPr>
            <w:r>
              <w:rPr>
                <w:rFonts w:hint="eastAsia" w:ascii="宋体" w:hAnsi="宋体" w:cs="宋体"/>
                <w:b/>
                <w:sz w:val="21"/>
                <w:szCs w:val="21"/>
              </w:rPr>
              <w:t>一、平台技术要求</w:t>
            </w:r>
          </w:p>
          <w:p>
            <w:pPr>
              <w:spacing w:line="520" w:lineRule="exact"/>
              <w:rPr>
                <w:rFonts w:ascii="宋体" w:hAnsi="宋体" w:cs="宋体"/>
                <w:bCs/>
                <w:sz w:val="21"/>
                <w:szCs w:val="21"/>
              </w:rPr>
            </w:pPr>
            <w:r>
              <w:rPr>
                <w:rFonts w:hint="eastAsia" w:ascii="宋体" w:hAnsi="宋体" w:cs="宋体"/>
                <w:bCs/>
                <w:sz w:val="21"/>
                <w:szCs w:val="21"/>
              </w:rPr>
              <w:t>1、要求整体平台基于J2EE平台，采用B/S架构，后端使用java开发技术。平台支持主流操作系统，可跨操作系统部署。</w:t>
            </w:r>
          </w:p>
          <w:p>
            <w:pPr>
              <w:spacing w:line="520" w:lineRule="exact"/>
              <w:rPr>
                <w:rFonts w:ascii="宋体" w:hAnsi="宋体" w:cs="宋体"/>
                <w:bCs/>
                <w:sz w:val="21"/>
                <w:szCs w:val="21"/>
              </w:rPr>
            </w:pPr>
            <w:r>
              <w:rPr>
                <w:rFonts w:hint="eastAsia" w:ascii="宋体" w:hAnsi="宋体" w:cs="宋体"/>
                <w:bCs/>
                <w:sz w:val="21"/>
                <w:szCs w:val="21"/>
              </w:rPr>
              <w:t>2、要求平台的消息机制采用Socket.io的心跳机制和Long Polling技术，减少服务器带宽开销和服务器压力，实现数据实时同步，保证数据的有效性，并采用ajax局部刷新技术提高操作体验。</w:t>
            </w:r>
          </w:p>
          <w:p>
            <w:pPr>
              <w:spacing w:line="520" w:lineRule="exact"/>
              <w:rPr>
                <w:rFonts w:ascii="宋体" w:hAnsi="宋体" w:cs="宋体"/>
                <w:b/>
                <w:sz w:val="21"/>
                <w:szCs w:val="21"/>
              </w:rPr>
            </w:pPr>
            <w:r>
              <w:rPr>
                <w:rFonts w:hint="eastAsia" w:ascii="宋体" w:hAnsi="宋体" w:cs="宋体"/>
                <w:b/>
                <w:sz w:val="21"/>
                <w:szCs w:val="21"/>
              </w:rPr>
              <w:t>二、平台功能要求</w:t>
            </w:r>
          </w:p>
          <w:p>
            <w:pPr>
              <w:spacing w:line="520" w:lineRule="exact"/>
              <w:rPr>
                <w:rFonts w:ascii="宋体" w:hAnsi="宋体" w:cs="宋体"/>
                <w:bCs/>
                <w:sz w:val="21"/>
                <w:szCs w:val="21"/>
              </w:rPr>
            </w:pPr>
            <w:r>
              <w:rPr>
                <w:rFonts w:hint="eastAsia" w:ascii="宋体" w:hAnsi="宋体" w:cs="宋体"/>
                <w:bCs/>
                <w:sz w:val="21"/>
                <w:szCs w:val="21"/>
              </w:rPr>
              <w:t>1、学生单人模拟或多人协作方式，进行区块链金融创新实训操作。学生操作指标考核，考核记录可加密保存。</w:t>
            </w:r>
          </w:p>
          <w:p>
            <w:pPr>
              <w:spacing w:line="520" w:lineRule="exact"/>
              <w:rPr>
                <w:rFonts w:ascii="宋体" w:hAnsi="宋体" w:cs="宋体"/>
                <w:bCs/>
                <w:sz w:val="21"/>
                <w:szCs w:val="21"/>
              </w:rPr>
            </w:pPr>
            <w:r>
              <w:rPr>
                <w:rFonts w:hint="eastAsia" w:ascii="宋体" w:hAnsi="宋体" w:cs="宋体"/>
                <w:bCs/>
                <w:sz w:val="21"/>
                <w:szCs w:val="21"/>
              </w:rPr>
              <w:t>2、实验演示：可以快速学习浏览任务列表，并且可以选择性地学习相应的实验操作。</w:t>
            </w:r>
          </w:p>
          <w:p>
            <w:pPr>
              <w:spacing w:line="520" w:lineRule="exact"/>
              <w:rPr>
                <w:rFonts w:ascii="宋体" w:hAnsi="宋体" w:cs="宋体"/>
                <w:bCs/>
                <w:sz w:val="21"/>
                <w:szCs w:val="21"/>
              </w:rPr>
            </w:pPr>
            <w:r>
              <w:rPr>
                <w:rFonts w:hint="eastAsia" w:ascii="宋体" w:hAnsi="宋体" w:cs="宋体"/>
                <w:bCs/>
                <w:sz w:val="21"/>
                <w:szCs w:val="21"/>
              </w:rPr>
              <w:t>3、知识点讲解，包含任务描述、重点分析、难点分析、实训操作知识。</w:t>
            </w:r>
          </w:p>
          <w:p>
            <w:pPr>
              <w:spacing w:line="520" w:lineRule="exact"/>
              <w:rPr>
                <w:rFonts w:ascii="宋体" w:hAnsi="宋体" w:cs="宋体"/>
                <w:bCs/>
                <w:sz w:val="21"/>
                <w:szCs w:val="21"/>
              </w:rPr>
            </w:pPr>
            <w:r>
              <w:rPr>
                <w:rFonts w:hint="eastAsia" w:ascii="宋体" w:hAnsi="宋体" w:cs="宋体"/>
                <w:bCs/>
                <w:sz w:val="21"/>
                <w:szCs w:val="21"/>
              </w:rPr>
              <w:t>4、可以查看学习资源，方便学生预习实训内容。</w:t>
            </w:r>
          </w:p>
          <w:p>
            <w:pPr>
              <w:spacing w:line="520" w:lineRule="exact"/>
              <w:rPr>
                <w:rFonts w:ascii="宋体" w:hAnsi="宋体" w:cs="宋体"/>
                <w:bCs/>
                <w:sz w:val="21"/>
                <w:szCs w:val="21"/>
              </w:rPr>
            </w:pPr>
            <w:r>
              <w:rPr>
                <w:rFonts w:hint="eastAsia" w:ascii="宋体" w:hAnsi="宋体" w:cs="宋体"/>
                <w:bCs/>
                <w:sz w:val="21"/>
                <w:szCs w:val="21"/>
              </w:rPr>
              <w:t>5、辅助评分：</w:t>
            </w:r>
          </w:p>
          <w:p>
            <w:pPr>
              <w:spacing w:line="520" w:lineRule="exact"/>
              <w:rPr>
                <w:rFonts w:ascii="宋体" w:hAnsi="宋体" w:cs="宋体"/>
                <w:sz w:val="21"/>
                <w:szCs w:val="21"/>
              </w:rPr>
            </w:pPr>
            <w:r>
              <w:rPr>
                <w:rFonts w:hint="eastAsia" w:ascii="宋体" w:hAnsi="宋体" w:cs="宋体"/>
                <w:sz w:val="21"/>
                <w:szCs w:val="21"/>
              </w:rPr>
              <w:t xml:space="preserve"> （1）具有智能操作指导及智能评价系统，能生成、导出并可打印学生实验报告。</w:t>
            </w:r>
          </w:p>
          <w:p>
            <w:pPr>
              <w:spacing w:line="520" w:lineRule="exact"/>
              <w:rPr>
                <w:rFonts w:ascii="宋体" w:hAnsi="宋体" w:cs="宋体"/>
                <w:sz w:val="21"/>
                <w:szCs w:val="21"/>
              </w:rPr>
            </w:pPr>
            <w:r>
              <w:rPr>
                <w:rFonts w:hint="eastAsia" w:ascii="宋体" w:hAnsi="宋体" w:cs="宋体"/>
                <w:sz w:val="21"/>
                <w:szCs w:val="21"/>
              </w:rPr>
              <w:t xml:space="preserve"> （2）软件能够对学生的错误操作进行分数的扣减，相应操作步骤的权重可以根据需要进行重新设定。</w:t>
            </w:r>
          </w:p>
          <w:p>
            <w:pPr>
              <w:spacing w:line="520" w:lineRule="exact"/>
              <w:rPr>
                <w:rFonts w:ascii="宋体" w:hAnsi="宋体" w:cs="宋体"/>
                <w:sz w:val="21"/>
                <w:szCs w:val="21"/>
              </w:rPr>
            </w:pPr>
            <w:r>
              <w:rPr>
                <w:rFonts w:hint="eastAsia" w:ascii="宋体" w:hAnsi="宋体" w:cs="宋体"/>
                <w:sz w:val="21"/>
                <w:szCs w:val="21"/>
              </w:rPr>
              <w:t xml:space="preserve"> （3）具备智能评分系统，有准确性、客观性、实时性，分区、分角色评定操作。</w:t>
            </w:r>
          </w:p>
          <w:p>
            <w:pPr>
              <w:spacing w:line="520" w:lineRule="exact"/>
              <w:rPr>
                <w:rFonts w:ascii="宋体" w:hAnsi="宋体" w:cs="宋体"/>
                <w:sz w:val="21"/>
                <w:szCs w:val="21"/>
              </w:rPr>
            </w:pPr>
            <w:r>
              <w:rPr>
                <w:rFonts w:hint="eastAsia" w:ascii="宋体" w:hAnsi="宋体" w:cs="宋体"/>
                <w:sz w:val="21"/>
                <w:szCs w:val="21"/>
              </w:rPr>
              <w:t xml:space="preserve"> （4）具备智能操作指导、诊断评分软件，每一个评分指标都可以设置严格的评定条件。</w:t>
            </w:r>
          </w:p>
          <w:p>
            <w:pPr>
              <w:spacing w:line="520" w:lineRule="exact"/>
              <w:rPr>
                <w:rFonts w:ascii="宋体" w:hAnsi="宋体" w:cs="宋体"/>
                <w:bCs/>
                <w:sz w:val="21"/>
                <w:szCs w:val="21"/>
              </w:rPr>
            </w:pPr>
            <w:r>
              <w:rPr>
                <w:rFonts w:hint="eastAsia" w:ascii="宋体" w:hAnsi="宋体" w:cs="宋体"/>
                <w:bCs/>
                <w:sz w:val="21"/>
                <w:szCs w:val="21"/>
              </w:rPr>
              <w:t>6、支持自动生成PDF版实验报告。</w:t>
            </w:r>
          </w:p>
          <w:p>
            <w:pPr>
              <w:spacing w:line="520" w:lineRule="exact"/>
              <w:rPr>
                <w:rFonts w:ascii="宋体" w:hAnsi="宋体" w:cs="宋体"/>
                <w:b/>
                <w:sz w:val="21"/>
                <w:szCs w:val="21"/>
              </w:rPr>
            </w:pPr>
            <w:r>
              <w:rPr>
                <w:rFonts w:hint="eastAsia" w:ascii="宋体" w:hAnsi="宋体" w:cs="宋体"/>
                <w:b/>
                <w:sz w:val="21"/>
                <w:szCs w:val="21"/>
              </w:rPr>
              <w:t>三、平台实训内容</w:t>
            </w:r>
          </w:p>
          <w:p>
            <w:pPr>
              <w:spacing w:line="520" w:lineRule="exact"/>
              <w:ind w:firstLine="420" w:firstLineChars="200"/>
              <w:rPr>
                <w:rFonts w:ascii="宋体" w:hAnsi="宋体" w:cs="宋体"/>
                <w:sz w:val="21"/>
                <w:szCs w:val="21"/>
              </w:rPr>
            </w:pPr>
            <w:r>
              <w:rPr>
                <w:rFonts w:hint="eastAsia" w:ascii="宋体" w:hAnsi="宋体" w:cs="宋体"/>
                <w:sz w:val="21"/>
                <w:szCs w:val="21"/>
              </w:rPr>
              <w:t>区块链金融应用实践平台应包含不少于9个模块，350个以上实验任务，并配套730个以上学习资源，确保每个实训任务都有学习资源与测试题进行配套教学支撑，210个以上教学知识点，实验任务共涉及21类角色岗位。具体应包含以下内容：</w:t>
            </w:r>
          </w:p>
          <w:p>
            <w:pPr>
              <w:spacing w:line="520" w:lineRule="exact"/>
              <w:rPr>
                <w:rFonts w:ascii="宋体" w:hAnsi="宋体" w:cs="宋体"/>
                <w:sz w:val="21"/>
                <w:szCs w:val="21"/>
              </w:rPr>
            </w:pPr>
            <w:r>
              <w:rPr>
                <w:rFonts w:hint="eastAsia" w:ascii="宋体" w:hAnsi="宋体" w:cs="宋体"/>
                <w:sz w:val="21"/>
                <w:szCs w:val="21"/>
              </w:rPr>
              <w:t>1、▲区块链基础：依据区块链的发展历史，按照时间线和技术线将区块链知识点进行分类，使学生对区块链有一个全面的认知。区块链基本一共包含8讲分别是：课程介绍、初识区块链、区块链原理、密码学基础、比特币工作原理、区块链应用、技术风险、课程总结。从区块链底层技术到相关应用都包含在内，不少于46个实验任务，30种实验模拟小工具。</w:t>
            </w:r>
          </w:p>
          <w:p>
            <w:pPr>
              <w:spacing w:line="520" w:lineRule="exact"/>
              <w:rPr>
                <w:rFonts w:ascii="宋体" w:hAnsi="宋体" w:cs="宋体"/>
                <w:sz w:val="21"/>
                <w:szCs w:val="21"/>
              </w:rPr>
            </w:pPr>
            <w:r>
              <w:rPr>
                <w:rFonts w:hint="eastAsia" w:ascii="宋体" w:hAnsi="宋体" w:cs="宋体"/>
                <w:sz w:val="21"/>
                <w:szCs w:val="21"/>
              </w:rPr>
              <w:t>2、★建链与应用演练：课程中以百度超级链为公链模板，教学生搭建一条私链，学生通过模拟、体验、操作逐渐具备搭建链的能力和公链应用能力。建完链之后，学生共同制定统一的智能合约达成共识，所有学生生成属于自己的一对公钥、私钥，同时课程中设有矿机挖矿、记账权争夺、打包区块、TOKEN激励，分布式记账、UTXO模型、哈希值等。</w:t>
            </w:r>
          </w:p>
          <w:p>
            <w:pPr>
              <w:spacing w:line="520" w:lineRule="exact"/>
              <w:rPr>
                <w:rFonts w:ascii="宋体" w:hAnsi="宋体" w:cs="宋体"/>
                <w:sz w:val="21"/>
                <w:szCs w:val="21"/>
              </w:rPr>
            </w:pPr>
            <w:r>
              <w:rPr>
                <w:rFonts w:hint="eastAsia" w:ascii="宋体" w:hAnsi="宋体" w:cs="宋体"/>
                <w:sz w:val="21"/>
                <w:szCs w:val="21"/>
              </w:rPr>
              <w:t>3、信用流转案例：依据供应链金融应用案例的行业痛点和区块链技术带来的金融科技创新，实训大任务包含：1）融资贷款模拟。将中小企业办理银行贷款的整个业务流程完整呈现。2）商票贴现模拟。让学生很直观的体验到中小企业缺乏信用导致无法获得银行授信额度，从而商票无法贴现的问题。3）商票质押模拟。让学生学习到中小企业在背书信息和票据质押时存在的问题。4）区块链应用体验。让学生分角色扮演：核心企业、一级供应商、二级供应商。实验基于超级账本Hyperledger Fabric创建联盟链服务，并安装链码，链上参与企业根据业务编写智能合约，并进行合约部署与合约调用。</w:t>
            </w:r>
          </w:p>
          <w:p>
            <w:pPr>
              <w:spacing w:line="520" w:lineRule="exact"/>
              <w:rPr>
                <w:rFonts w:ascii="宋体" w:hAnsi="宋体" w:cs="宋体"/>
                <w:sz w:val="21"/>
                <w:szCs w:val="21"/>
              </w:rPr>
            </w:pPr>
            <w:r>
              <w:rPr>
                <w:rFonts w:hint="eastAsia" w:ascii="宋体" w:hAnsi="宋体" w:cs="宋体"/>
                <w:sz w:val="21"/>
                <w:szCs w:val="21"/>
              </w:rPr>
              <w:t>4、跨境保理案例：案例角色分别是供应商、保理公司、境外支付、境外电商。课程4个大任务，包含：1）传统保理模拟。2）融资审核模拟。3）多头借贷模拟。4）体验上链交易。学生分别扮演4个角色进行实训演练。在任务开始前，所有学生基于腾讯联盟链模式，通过创建联盟链、添加节点、邀请成员、启动联盟链4步搭建一条联盟链。学生通过使用区块链浏览器进行数据索引，利用数据分析对链上参与企业的授信额度、资产收益、业务往来进行总结与分析，基于PBFT共识机制将链上业务数据进行打包上链。</w:t>
            </w:r>
          </w:p>
          <w:p>
            <w:pPr>
              <w:spacing w:line="520" w:lineRule="exact"/>
              <w:rPr>
                <w:rFonts w:ascii="宋体" w:hAnsi="宋体" w:cs="宋体"/>
                <w:sz w:val="21"/>
                <w:szCs w:val="21"/>
              </w:rPr>
            </w:pPr>
            <w:r>
              <w:rPr>
                <w:rFonts w:hint="eastAsia" w:ascii="宋体" w:hAnsi="宋体" w:cs="宋体"/>
                <w:sz w:val="21"/>
                <w:szCs w:val="21"/>
              </w:rPr>
              <w:t>5、价值分析与通证经济：依据区块链的应用发展，课程一共有6讲分别是：区块链价值观、区块链与货币、区块链应用、区块链与数据、区块链与规范、区块链与理论。分别涉及区块链与社会政策、大数据、人工智能、金融、食品安全等各个行业的价值。其中还包含5种通证经济模型，分别是：交易即挖矿、共享经济、内容社区、知识付费、溯源模拟。学生通过学习并操作模型，全面了解通证经济的原理与价值，理解通证思维模式。</w:t>
            </w:r>
          </w:p>
          <w:p>
            <w:pPr>
              <w:spacing w:line="520" w:lineRule="exact"/>
              <w:rPr>
                <w:rFonts w:ascii="宋体" w:hAnsi="宋体" w:cs="宋体"/>
                <w:sz w:val="21"/>
                <w:szCs w:val="21"/>
              </w:rPr>
            </w:pPr>
            <w:r>
              <w:rPr>
                <w:rFonts w:hint="eastAsia" w:ascii="宋体" w:hAnsi="宋体" w:cs="宋体"/>
                <w:sz w:val="21"/>
                <w:szCs w:val="21"/>
              </w:rPr>
              <w:t>6、基金与保险案例：课程3个大任务，包含：1）区块链基金。案例角色分别是基金托管人、管理人、投资人、监管机构。通过管理人登记资格证书，上传到链上，生成上链证书，通过数字摘要技术，选择使用MD5或者SHA1加密算法向托管人发送加密过后的基金管理人资格证书进行身份验证，三方在链上签订基金合同，监管机构将对三方上链的基金合同进行校验。2）搭建区块链钱包。以星云链为模版，所有学生通过八步搭建属于自己的区块链钱包。3）区块链保险。案例角色分别是保险投保人、经纪人、保险公司、监管机构。通过经纪人登记资格证书，上传到链上，三方在链上使用区块链钱包进行保费缴纳和佣金提取，最终保险公司与投保人在链上签订保险合同，监管机构对证书、合同、费用进行垂直监管。</w:t>
            </w:r>
          </w:p>
          <w:p>
            <w:pPr>
              <w:spacing w:line="520" w:lineRule="exact"/>
              <w:rPr>
                <w:rFonts w:ascii="宋体" w:hAnsi="宋体" w:cs="宋体"/>
                <w:sz w:val="21"/>
                <w:szCs w:val="21"/>
              </w:rPr>
            </w:pPr>
            <w:r>
              <w:rPr>
                <w:rFonts w:hint="eastAsia" w:ascii="宋体" w:hAnsi="宋体" w:cs="宋体"/>
                <w:sz w:val="21"/>
                <w:szCs w:val="21"/>
              </w:rPr>
              <w:t>7、★数字发票案例：案例角色分别是消费者、企业、商户、税务局，业务核心要实现“交易即开票，开票即报销”。课程包含1个大任务：区块链电子发票。学生分4个角色进行演练，通过企业向采购员即消费者下达采购计划，消费者通过私有链上数据提取，获得采购计划，向商户采购办公用品；消费者收到货物后向商户提交开具区块链发票/电子发票，增值税专用发票/普通发票的申请，商户通过联盟链上数据提取，获得发票信息进行开票；企业内部进行采购报销业务，认证进项专票，向税务局提交纳税申报表，交纳增值税。</w:t>
            </w:r>
          </w:p>
          <w:p>
            <w:pPr>
              <w:spacing w:line="520" w:lineRule="exact"/>
              <w:rPr>
                <w:rFonts w:ascii="宋体" w:hAnsi="宋体" w:cs="宋体"/>
                <w:sz w:val="21"/>
                <w:szCs w:val="21"/>
              </w:rPr>
            </w:pPr>
            <w:r>
              <w:rPr>
                <w:rFonts w:hint="eastAsia" w:ascii="宋体" w:hAnsi="宋体" w:cs="宋体"/>
                <w:sz w:val="21"/>
                <w:szCs w:val="21"/>
              </w:rPr>
              <w:t>8、技术应用与分析：依据区块链的应用发展，课程一共有5讲分别是：区块链架构、区块链中的密码学技术、共识算法详解、区块链应用案例、区块链常见问题。学生通过两种区块链技术小工具，快速理解哈希算法和椭圆曲线算法。</w:t>
            </w:r>
          </w:p>
          <w:p>
            <w:pPr>
              <w:spacing w:line="520" w:lineRule="exact"/>
              <w:rPr>
                <w:rFonts w:ascii="宋体" w:hAnsi="宋体" w:cs="宋体"/>
                <w:sz w:val="21"/>
                <w:szCs w:val="21"/>
              </w:rPr>
            </w:pPr>
            <w:r>
              <w:rPr>
                <w:rFonts w:hint="eastAsia" w:ascii="宋体" w:hAnsi="宋体" w:cs="宋体"/>
                <w:sz w:val="21"/>
                <w:szCs w:val="21"/>
              </w:rPr>
              <w:t>9、创意计划书编写与路演：为学生提供10余种优秀的 “区块链+”行业白皮书，以及20余种创意计划书模版，学生以小组为单位进行课程总结编写创意计划书，最后将学习成果进行上传，形成永久学习记录。</w:t>
            </w:r>
          </w:p>
          <w:p>
            <w:pPr>
              <w:spacing w:line="520" w:lineRule="exact"/>
              <w:rPr>
                <w:rFonts w:ascii="宋体" w:hAnsi="宋体" w:cs="宋体"/>
                <w:b/>
                <w:sz w:val="21"/>
                <w:szCs w:val="21"/>
              </w:rPr>
            </w:pPr>
            <w:r>
              <w:rPr>
                <w:rFonts w:hint="eastAsia" w:ascii="宋体" w:hAnsi="宋体" w:cs="宋体"/>
                <w:b/>
                <w:sz w:val="21"/>
                <w:szCs w:val="21"/>
              </w:rPr>
              <w:t>四、区块链学习模块要求</w:t>
            </w:r>
          </w:p>
          <w:p>
            <w:pPr>
              <w:spacing w:line="520" w:lineRule="exact"/>
              <w:rPr>
                <w:rFonts w:ascii="宋体" w:hAnsi="宋体" w:cs="宋体"/>
                <w:sz w:val="21"/>
                <w:szCs w:val="21"/>
              </w:rPr>
            </w:pPr>
            <w:r>
              <w:rPr>
                <w:rFonts w:hint="eastAsia" w:ascii="宋体" w:hAnsi="宋体" w:cs="宋体"/>
                <w:sz w:val="21"/>
                <w:szCs w:val="21"/>
              </w:rPr>
              <w:t>1、平台贯穿学生整个实验周期，将学习数据、学习轨迹、成绩信息实时上链，并在线上将全国院校全网学生进行排名，打破时间、空间的限制。</w:t>
            </w:r>
          </w:p>
          <w:p>
            <w:pPr>
              <w:spacing w:line="520" w:lineRule="exact"/>
              <w:rPr>
                <w:rFonts w:ascii="宋体" w:hAnsi="宋体" w:cs="宋体"/>
                <w:sz w:val="21"/>
                <w:szCs w:val="21"/>
              </w:rPr>
            </w:pPr>
            <w:r>
              <w:rPr>
                <w:rFonts w:hint="eastAsia" w:ascii="宋体" w:hAnsi="宋体" w:cs="宋体"/>
                <w:sz w:val="21"/>
                <w:szCs w:val="21"/>
              </w:rPr>
              <w:t>2、区块链技术小工具：在区块链基础模块中共有30种区块链技术小工具，辅助教师进行技术知识点的教学，帮助学生快速理解相关知识点，加深对技术原理的认知。</w:t>
            </w:r>
          </w:p>
          <w:p>
            <w:pPr>
              <w:spacing w:line="520" w:lineRule="exact"/>
              <w:rPr>
                <w:rFonts w:ascii="宋体" w:hAnsi="宋体" w:cs="宋体"/>
                <w:sz w:val="21"/>
                <w:szCs w:val="21"/>
              </w:rPr>
            </w:pPr>
            <w:r>
              <w:rPr>
                <w:rFonts w:hint="eastAsia" w:ascii="宋体" w:hAnsi="宋体" w:cs="宋体"/>
                <w:sz w:val="21"/>
                <w:szCs w:val="21"/>
              </w:rPr>
              <w:t>3、区块链实践教学运行平台的实训岗位应包含制造企业、商贸企业、核心企业、一级供应商、二级供应商、保理公司、境外支付、境外电商、供应商、消费者、商户、企业、税务局、基金托管人、管理人、投资人、监管机构、保险经纪人、投保人、保险公司、监管机构一共21个不同的角色，分别对应5个案例：区块链应用演练案例、信用流转案例、跨境保理案例、基金与保险案例、数字发票案例。</w:t>
            </w:r>
          </w:p>
          <w:p>
            <w:pPr>
              <w:spacing w:line="520" w:lineRule="exact"/>
              <w:rPr>
                <w:rFonts w:ascii="宋体" w:hAnsi="宋体" w:cs="宋体"/>
                <w:sz w:val="21"/>
                <w:szCs w:val="21"/>
              </w:rPr>
            </w:pPr>
            <w:r>
              <w:rPr>
                <w:rFonts w:hint="eastAsia" w:ascii="宋体" w:hAnsi="宋体" w:cs="宋体"/>
                <w:sz w:val="21"/>
                <w:szCs w:val="21"/>
              </w:rPr>
              <w:t>4、学习成绩排行榜：分别从6个纬度对学生学习成绩进行排名，分别是：总成绩排名、金币值排名、学习值排名、答题值排名、思维值排名、能力值排名。</w:t>
            </w:r>
          </w:p>
          <w:p>
            <w:pPr>
              <w:spacing w:line="520" w:lineRule="exact"/>
              <w:rPr>
                <w:rFonts w:ascii="宋体" w:hAnsi="宋体" w:cs="宋体"/>
                <w:sz w:val="21"/>
                <w:szCs w:val="21"/>
              </w:rPr>
            </w:pPr>
            <w:r>
              <w:rPr>
                <w:rFonts w:hint="eastAsia" w:ascii="宋体" w:hAnsi="宋体" w:cs="宋体"/>
                <w:sz w:val="21"/>
                <w:szCs w:val="21"/>
              </w:rPr>
              <w:t>5、平台名词解释功能：在案例教学中有很多专业名词，在功能中加入对金融等专业名词的解析，便于让学生快速理解学习任务，高质量的完成学习目标。</w:t>
            </w:r>
          </w:p>
          <w:p>
            <w:pPr>
              <w:spacing w:line="520" w:lineRule="exact"/>
              <w:rPr>
                <w:rFonts w:ascii="宋体" w:hAnsi="宋体" w:cs="宋体"/>
                <w:sz w:val="21"/>
                <w:szCs w:val="21"/>
              </w:rPr>
            </w:pPr>
            <w:r>
              <w:rPr>
                <w:rFonts w:hint="eastAsia" w:ascii="宋体" w:hAnsi="宋体" w:cs="宋体"/>
                <w:sz w:val="21"/>
                <w:szCs w:val="21"/>
              </w:rPr>
              <w:t>6、区块链实践教学运行平台追溯功能：在信用流转案例中，学生的商业承兑汇票、购销合同、智能合约将全部上到联盟链上，通过追溯票据流转的功能可以查看到所有票据的流转途径，任何地方发生问题学生可以直接发现并及时纠正，让学生可以直观感知和体验区块链在金融领域的作用。</w:t>
            </w:r>
          </w:p>
          <w:p>
            <w:pPr>
              <w:spacing w:line="520" w:lineRule="exact"/>
              <w:rPr>
                <w:rFonts w:ascii="宋体" w:hAnsi="宋体" w:cs="宋体"/>
                <w:sz w:val="21"/>
                <w:szCs w:val="21"/>
              </w:rPr>
            </w:pPr>
            <w:r>
              <w:rPr>
                <w:rFonts w:hint="eastAsia" w:ascii="宋体" w:hAnsi="宋体" w:cs="宋体"/>
                <w:sz w:val="21"/>
                <w:szCs w:val="21"/>
              </w:rPr>
              <w:t>7、教师端岗位查询功能：教师可以查看全班学生实验岗位情况，便于案例的教学体验。</w:t>
            </w:r>
          </w:p>
          <w:p>
            <w:pPr>
              <w:spacing w:line="520" w:lineRule="exact"/>
              <w:rPr>
                <w:rFonts w:ascii="宋体" w:hAnsi="宋体" w:cs="宋体"/>
                <w:sz w:val="21"/>
                <w:szCs w:val="21"/>
              </w:rPr>
            </w:pPr>
            <w:r>
              <w:rPr>
                <w:rFonts w:hint="eastAsia" w:ascii="宋体" w:hAnsi="宋体" w:cs="宋体"/>
                <w:sz w:val="21"/>
                <w:szCs w:val="21"/>
              </w:rPr>
              <w:t>8、区块链教学指引功能：教师可以通过系统预置视频、PPT、动画引导学生进行实验学习。</w:t>
            </w:r>
          </w:p>
          <w:p>
            <w:pPr>
              <w:spacing w:line="520" w:lineRule="exact"/>
              <w:rPr>
                <w:rFonts w:ascii="宋体" w:hAnsi="宋体" w:cs="宋体"/>
                <w:sz w:val="21"/>
                <w:szCs w:val="21"/>
              </w:rPr>
            </w:pPr>
            <w:r>
              <w:rPr>
                <w:rFonts w:hint="eastAsia" w:ascii="宋体" w:hAnsi="宋体" w:cs="宋体"/>
                <w:sz w:val="21"/>
                <w:szCs w:val="21"/>
              </w:rPr>
              <w:t>9、▲在线PK功能：在线PK的功能，学生通过在线PK，可以和班级的同学进行PK答题，这一功能既能培养学生的竞争意识，又能增加学习知识的趣味性。</w:t>
            </w:r>
          </w:p>
          <w:p>
            <w:pPr>
              <w:spacing w:line="520" w:lineRule="exact"/>
              <w:rPr>
                <w:rFonts w:ascii="宋体" w:hAnsi="宋体" w:cs="宋体"/>
                <w:sz w:val="21"/>
                <w:szCs w:val="21"/>
              </w:rPr>
            </w:pPr>
            <w:r>
              <w:rPr>
                <w:rFonts w:hint="eastAsia" w:ascii="宋体" w:hAnsi="宋体" w:cs="宋体"/>
                <w:sz w:val="21"/>
                <w:szCs w:val="21"/>
              </w:rPr>
              <w:t>10、区块链任务地图功能：平台中对应的九个模块，学生在学习时可以根据任务地图了解当前模块所有的实验任务，根据教师的教学安排对应11、区块链UTXO交易池功能：区块链核心思维的功能体现，将UTXO显性化体现，展示的是进账交易记录，作为未花费的交易记录，学生实时利用区块链UTXO进行实训操练，培养学生区块链思维。</w:t>
            </w:r>
          </w:p>
          <w:p>
            <w:pPr>
              <w:spacing w:line="520" w:lineRule="exact"/>
              <w:rPr>
                <w:rFonts w:ascii="宋体" w:hAnsi="宋体" w:cs="宋体"/>
                <w:sz w:val="21"/>
                <w:szCs w:val="21"/>
              </w:rPr>
            </w:pPr>
            <w:r>
              <w:rPr>
                <w:rFonts w:hint="eastAsia" w:ascii="宋体" w:hAnsi="宋体" w:cs="宋体"/>
                <w:sz w:val="21"/>
                <w:szCs w:val="21"/>
              </w:rPr>
              <w:t>11、同学信息功能：根据课程模块的设置，显性化展示全班同学的姓名、钱包地址、公钥以及自己的私钥，便于学生进行试验交互。</w:t>
            </w:r>
          </w:p>
          <w:p>
            <w:pPr>
              <w:spacing w:line="520" w:lineRule="exact"/>
              <w:rPr>
                <w:rFonts w:ascii="宋体" w:hAnsi="宋体" w:cs="宋体"/>
                <w:sz w:val="21"/>
                <w:szCs w:val="21"/>
              </w:rPr>
            </w:pPr>
            <w:r>
              <w:rPr>
                <w:rFonts w:hint="eastAsia" w:ascii="宋体" w:hAnsi="宋体" w:cs="宋体"/>
                <w:sz w:val="21"/>
                <w:szCs w:val="21"/>
              </w:rPr>
              <w:t>12、▲班级交易信息功能：全程采集班级交易信息，将交易信息数据流化，数据流的疏密密集程度，动态化展示班级的交易情况，网络拓扑结构承载数据流转。</w:t>
            </w:r>
          </w:p>
          <w:p>
            <w:pPr>
              <w:spacing w:line="520" w:lineRule="exact"/>
              <w:rPr>
                <w:rFonts w:ascii="宋体" w:hAnsi="宋体" w:cs="宋体"/>
                <w:sz w:val="21"/>
                <w:szCs w:val="21"/>
              </w:rPr>
            </w:pPr>
            <w:r>
              <w:rPr>
                <w:rFonts w:hint="eastAsia" w:ascii="宋体" w:hAnsi="宋体" w:cs="宋体"/>
                <w:sz w:val="21"/>
                <w:szCs w:val="21"/>
              </w:rPr>
              <w:t>13、区块链试题自动甄别功能：对实训任务中的测试题进行自动甄别，根据测试结果自动评级。</w:t>
            </w:r>
          </w:p>
          <w:p>
            <w:pPr>
              <w:spacing w:line="520" w:lineRule="exact"/>
              <w:rPr>
                <w:rFonts w:ascii="宋体" w:hAnsi="宋体" w:cs="宋体"/>
                <w:sz w:val="21"/>
                <w:szCs w:val="21"/>
              </w:rPr>
            </w:pPr>
            <w:r>
              <w:rPr>
                <w:rFonts w:hint="eastAsia" w:ascii="宋体" w:hAnsi="宋体" w:cs="宋体"/>
                <w:sz w:val="21"/>
                <w:szCs w:val="21"/>
              </w:rPr>
              <w:t>14、仓库管理功能：在不同的实验案例中，有不同的原材料和成品，在仓库中会对原材料和成品进行分类管理。</w:t>
            </w:r>
          </w:p>
          <w:p>
            <w:pPr>
              <w:spacing w:line="520" w:lineRule="exact"/>
              <w:rPr>
                <w:rFonts w:ascii="宋体" w:hAnsi="宋体" w:cs="宋体"/>
                <w:sz w:val="21"/>
                <w:szCs w:val="21"/>
              </w:rPr>
            </w:pPr>
            <w:r>
              <w:rPr>
                <w:rFonts w:hint="eastAsia" w:ascii="宋体" w:hAnsi="宋体" w:cs="宋体"/>
                <w:sz w:val="21"/>
                <w:szCs w:val="21"/>
              </w:rPr>
              <w:t>15、▲角色分配图功能：在不同的实验案例中，学生会扮演有不同的角色，通过角色分配图，学生可以轻易了解班级内同学们的角色以及角色间的关系。</w:t>
            </w:r>
          </w:p>
          <w:p>
            <w:pPr>
              <w:spacing w:line="520" w:lineRule="exact"/>
              <w:rPr>
                <w:rFonts w:ascii="宋体" w:hAnsi="宋体" w:cs="宋体"/>
                <w:sz w:val="21"/>
                <w:szCs w:val="21"/>
              </w:rPr>
            </w:pPr>
            <w:r>
              <w:rPr>
                <w:rFonts w:hint="eastAsia" w:ascii="宋体" w:hAnsi="宋体" w:cs="宋体"/>
                <w:sz w:val="21"/>
                <w:szCs w:val="21"/>
              </w:rPr>
              <w:t>16、▲区块链浏览器功能：在不同的实验案例中，有不同的实验任务与业务环境，学生在实验中需要进行数据索引、数据分析，在区块链浏览器中学生可以查找到不同实验任务上链的相关单据或信息。</w:t>
            </w:r>
          </w:p>
          <w:p>
            <w:pPr>
              <w:spacing w:line="520" w:lineRule="exact"/>
              <w:rPr>
                <w:rFonts w:ascii="宋体" w:hAnsi="宋体" w:cs="宋体"/>
                <w:sz w:val="21"/>
                <w:szCs w:val="21"/>
              </w:rPr>
            </w:pPr>
            <w:r>
              <w:rPr>
                <w:rFonts w:hint="eastAsia" w:ascii="宋体" w:hAnsi="宋体" w:cs="宋体"/>
                <w:sz w:val="21"/>
                <w:szCs w:val="21"/>
              </w:rPr>
              <w:t>17、▲链上数据分析功能：里面包含授信数据图、组织收益图、资金流向图等5中图谱，帮助学生进行数据分析，全面理解业务。</w:t>
            </w:r>
          </w:p>
          <w:p>
            <w:pPr>
              <w:spacing w:line="520" w:lineRule="exact"/>
              <w:rPr>
                <w:rFonts w:ascii="宋体" w:hAnsi="宋体" w:cs="宋体"/>
                <w:sz w:val="21"/>
                <w:szCs w:val="21"/>
              </w:rPr>
            </w:pPr>
            <w:r>
              <w:rPr>
                <w:rFonts w:hint="eastAsia" w:ascii="宋体" w:hAnsi="宋体" w:cs="宋体"/>
                <w:sz w:val="21"/>
                <w:szCs w:val="21"/>
              </w:rPr>
              <w:t>18、联盟链环境图功能：在实验案例中根据业务环境，学生需要创建联盟链，根据学生的节点数据和联盟链数据形成联盟链环境图，里面还包括区块信息和交易信息，学生在联盟链上产生的数据会打包成一个个区块，每个区块可以点击查看详细信息。（演示点）</w:t>
            </w:r>
          </w:p>
          <w:p>
            <w:pPr>
              <w:spacing w:line="520" w:lineRule="exact"/>
              <w:rPr>
                <w:rFonts w:ascii="宋体" w:hAnsi="宋体" w:cs="宋体"/>
                <w:sz w:val="21"/>
                <w:szCs w:val="21"/>
              </w:rPr>
            </w:pPr>
            <w:r>
              <w:rPr>
                <w:rFonts w:hint="eastAsia" w:ascii="宋体" w:hAnsi="宋体" w:cs="宋体"/>
                <w:sz w:val="21"/>
                <w:szCs w:val="21"/>
              </w:rPr>
              <w:t>19、▲区块链公告栏：包含全网通告区、收货通告区、发货通告区，学生通过P2P点对点传输机制向全网发布公告，订单的收发货记录都会进行上链。</w:t>
            </w:r>
          </w:p>
          <w:p>
            <w:pPr>
              <w:spacing w:line="520" w:lineRule="exact"/>
              <w:rPr>
                <w:rFonts w:ascii="宋体" w:hAnsi="宋体" w:cs="宋体"/>
                <w:sz w:val="21"/>
                <w:szCs w:val="21"/>
              </w:rPr>
            </w:pPr>
            <w:r>
              <w:rPr>
                <w:rFonts w:hint="eastAsia" w:ascii="宋体" w:hAnsi="宋体" w:cs="宋体"/>
                <w:sz w:val="21"/>
                <w:szCs w:val="21"/>
              </w:rPr>
              <w:t>20、教师端包含：微信登录、教学讲义、教学手册、学生管理、岗位管理、交易池、任务进度、金币调节、实训成绩、考核权重设置、资源库、学生成果、成绩管理、任务推送、实训成果、区块链、创建智能合约、开启生成区块、关闭生成区块、风暴选人。</w:t>
            </w:r>
          </w:p>
          <w:p>
            <w:pPr>
              <w:spacing w:line="520" w:lineRule="exact"/>
              <w:rPr>
                <w:rFonts w:ascii="宋体" w:hAnsi="宋体" w:cs="宋体"/>
                <w:sz w:val="21"/>
                <w:szCs w:val="21"/>
              </w:rPr>
            </w:pPr>
            <w:r>
              <w:rPr>
                <w:rFonts w:hint="eastAsia" w:ascii="宋体" w:hAnsi="宋体" w:cs="宋体"/>
                <w:sz w:val="21"/>
                <w:szCs w:val="21"/>
              </w:rPr>
              <w:t>21、学生端包含：微信登录、区块链工具、资源库、我的成果、实验成绩、实验报告、排行榜、PK答题、个人信息、交易池、UTXO、账本、数据看板、能力图谱、思维图谱等。</w:t>
            </w:r>
          </w:p>
          <w:p>
            <w:pPr>
              <w:spacing w:line="520" w:lineRule="exact"/>
              <w:rPr>
                <w:rFonts w:ascii="宋体" w:hAnsi="宋体" w:cs="宋体"/>
                <w:sz w:val="21"/>
                <w:szCs w:val="21"/>
              </w:rPr>
            </w:pPr>
            <w:r>
              <w:rPr>
                <w:rFonts w:hint="eastAsia" w:ascii="宋体" w:hAnsi="宋体" w:cs="宋体"/>
                <w:sz w:val="21"/>
                <w:szCs w:val="21"/>
              </w:rPr>
              <w:t>22、思维导图：让学生从一开始学习到整个课程结束，将学习的知识点存放在思维导图中，以树状结构对学生的学习体系进行梳理；同时可以帮助学生将学习的知识点变得更有结构和层次。</w:t>
            </w:r>
          </w:p>
          <w:p>
            <w:pPr>
              <w:spacing w:line="520" w:lineRule="exact"/>
              <w:rPr>
                <w:rFonts w:ascii="宋体" w:hAnsi="宋体" w:cs="宋体"/>
                <w:sz w:val="21"/>
                <w:szCs w:val="21"/>
              </w:rPr>
            </w:pPr>
            <w:r>
              <w:rPr>
                <w:rFonts w:hint="eastAsia" w:ascii="宋体" w:hAnsi="宋体" w:cs="宋体"/>
                <w:sz w:val="21"/>
                <w:szCs w:val="21"/>
              </w:rPr>
              <w:t>23、▲重难点分析：教学产品化，辅助教师更轻松地完成授课内容，将教师备课、授课的内容与步骤，在系统中形成一套共识并以文档的形式呈现，使教师通过阅读文档的内容即可完成课前准备与课程授课，大大降低教师授课难度。</w:t>
            </w:r>
          </w:p>
          <w:p>
            <w:pPr>
              <w:spacing w:line="520" w:lineRule="exact"/>
              <w:rPr>
                <w:rFonts w:ascii="宋体" w:hAnsi="宋体" w:cs="宋体"/>
                <w:sz w:val="21"/>
                <w:szCs w:val="21"/>
              </w:rPr>
            </w:pPr>
            <w:r>
              <w:rPr>
                <w:rFonts w:hint="eastAsia" w:ascii="宋体" w:hAnsi="宋体" w:cs="宋体"/>
                <w:sz w:val="21"/>
                <w:szCs w:val="21"/>
              </w:rPr>
              <w:t>24、区块链思维与能力评价体系：包含区块链思维评价体系和区块链能力评价体系。依据学生整个实训课程的学习轨迹，全程部署采分点和收集点，全方位分析学生的区块链思维与能力。可演示展现。</w:t>
            </w:r>
          </w:p>
          <w:p>
            <w:pPr>
              <w:spacing w:line="520" w:lineRule="exact"/>
              <w:rPr>
                <w:rFonts w:ascii="宋体" w:hAnsi="宋体" w:cs="宋体"/>
                <w:sz w:val="21"/>
                <w:szCs w:val="21"/>
              </w:rPr>
            </w:pPr>
            <w:r>
              <w:rPr>
                <w:rFonts w:hint="eastAsia" w:ascii="宋体" w:hAnsi="宋体" w:cs="宋体"/>
                <w:sz w:val="21"/>
                <w:szCs w:val="21"/>
              </w:rPr>
              <w:t>25、区块链实训成果功能：包含实训成绩、区块链思维体系、区块链能力体系、教师评语。</w:t>
            </w:r>
          </w:p>
          <w:p>
            <w:pPr>
              <w:spacing w:line="520" w:lineRule="exact"/>
              <w:rPr>
                <w:rFonts w:ascii="宋体" w:hAnsi="宋体" w:cs="宋体"/>
                <w:sz w:val="21"/>
                <w:szCs w:val="21"/>
              </w:rPr>
            </w:pPr>
            <w:r>
              <w:rPr>
                <w:rFonts w:hint="eastAsia" w:ascii="宋体" w:hAnsi="宋体" w:cs="宋体"/>
                <w:sz w:val="21"/>
                <w:szCs w:val="21"/>
              </w:rPr>
              <w:t>26、区块链思维画布、思维训练体系：4类思维画布，体现区块链的4个方面，线上+线下两种思维画布配合使用，引导学生逐步思考总结，培养学生的区块链思维。</w:t>
            </w:r>
          </w:p>
          <w:p>
            <w:pPr>
              <w:spacing w:line="520" w:lineRule="exact"/>
              <w:rPr>
                <w:rFonts w:ascii="宋体" w:hAnsi="宋体" w:cs="宋体"/>
                <w:sz w:val="21"/>
                <w:szCs w:val="21"/>
              </w:rPr>
            </w:pPr>
            <w:r>
              <w:rPr>
                <w:rFonts w:hint="eastAsia" w:ascii="宋体" w:hAnsi="宋体" w:cs="宋体"/>
                <w:sz w:val="21"/>
                <w:szCs w:val="21"/>
              </w:rPr>
              <w:t>27、区块链显性化工具训练体系：9个显性化概念，将复杂理念变的通俗易懂。</w:t>
            </w:r>
          </w:p>
          <w:p>
            <w:pPr>
              <w:spacing w:line="520" w:lineRule="exact"/>
              <w:rPr>
                <w:rFonts w:ascii="宋体" w:hAnsi="宋体" w:cs="宋体"/>
                <w:sz w:val="21"/>
                <w:szCs w:val="21"/>
              </w:rPr>
            </w:pPr>
            <w:r>
              <w:rPr>
                <w:rFonts w:hint="eastAsia" w:ascii="宋体" w:hAnsi="宋体" w:cs="宋体"/>
                <w:sz w:val="21"/>
                <w:szCs w:val="21"/>
              </w:rPr>
              <w:t>28、区块链分析工具思维训练体系：6个分析工具，体现区块链应用的6个方面。</w:t>
            </w:r>
          </w:p>
          <w:p>
            <w:pPr>
              <w:spacing w:line="520" w:lineRule="exact"/>
              <w:rPr>
                <w:rFonts w:ascii="宋体" w:hAnsi="宋体" w:cs="宋体"/>
                <w:sz w:val="21"/>
                <w:szCs w:val="21"/>
              </w:rPr>
            </w:pPr>
            <w:r>
              <w:rPr>
                <w:rFonts w:hint="eastAsia" w:ascii="宋体" w:hAnsi="宋体" w:cs="宋体"/>
                <w:sz w:val="21"/>
                <w:szCs w:val="21"/>
              </w:rPr>
              <w:t>29、区块链游戏设计体系：3大区块链游戏，体现区块链的10个技术特征</w:t>
            </w:r>
          </w:p>
          <w:p>
            <w:pPr>
              <w:spacing w:line="520" w:lineRule="exact"/>
              <w:rPr>
                <w:rFonts w:ascii="宋体" w:hAnsi="宋体" w:cs="宋体"/>
                <w:sz w:val="21"/>
                <w:szCs w:val="21"/>
              </w:rPr>
            </w:pPr>
            <w:r>
              <w:rPr>
                <w:rFonts w:hint="eastAsia" w:ascii="宋体" w:hAnsi="宋体" w:cs="宋体"/>
                <w:sz w:val="21"/>
                <w:szCs w:val="21"/>
              </w:rPr>
              <w:t>30、▲区块链通证经济模型：实训平台引入的5种通证经济模型，体现了当下5大类市场经济通证应用的设计思路；让学生充分了解当下已有通证类型，理解通证的设计原理、实现方式、展现效果,改变传统思维模式，融合创新理念，达到创新型金融人才的培养目标。</w:t>
            </w:r>
          </w:p>
          <w:p>
            <w:pPr>
              <w:spacing w:line="520" w:lineRule="exact"/>
              <w:rPr>
                <w:rFonts w:ascii="宋体" w:hAnsi="宋体" w:cs="宋体"/>
                <w:b/>
                <w:sz w:val="21"/>
                <w:szCs w:val="21"/>
              </w:rPr>
            </w:pPr>
            <w:r>
              <w:rPr>
                <w:rFonts w:hint="eastAsia" w:ascii="宋体" w:hAnsi="宋体" w:cs="宋体"/>
                <w:b/>
                <w:sz w:val="21"/>
                <w:szCs w:val="21"/>
              </w:rPr>
              <w:t>五、配套教辅资源</w:t>
            </w:r>
          </w:p>
          <w:p>
            <w:pPr>
              <w:spacing w:line="520" w:lineRule="exact"/>
              <w:rPr>
                <w:rFonts w:ascii="宋体" w:hAnsi="宋体" w:cs="宋体"/>
                <w:sz w:val="21"/>
                <w:szCs w:val="21"/>
              </w:rPr>
            </w:pPr>
            <w:r>
              <w:rPr>
                <w:rFonts w:hint="eastAsia" w:ascii="宋体" w:hAnsi="宋体" w:cs="宋体"/>
                <w:sz w:val="21"/>
                <w:szCs w:val="21"/>
              </w:rPr>
              <w:t>1、区块链金融实验案例配套资源：包括要求提供核心企业、一级供应商、二级供应商、制造企业、商贸企业、保理公司、供应商、跨境支付机构、境外电商、消费者、商户、企业、税务局、基金托管人、管理人、投资人、监管机构、保险经纪人、投保人、保险公司、监管机构的演示数据和要求提供案例实验的仿真教学教具。</w:t>
            </w:r>
          </w:p>
          <w:p>
            <w:pPr>
              <w:spacing w:line="520" w:lineRule="exact"/>
              <w:rPr>
                <w:rFonts w:ascii="宋体" w:hAnsi="宋体" w:cs="宋体"/>
                <w:sz w:val="21"/>
                <w:szCs w:val="21"/>
              </w:rPr>
            </w:pPr>
            <w:r>
              <w:rPr>
                <w:rFonts w:hint="eastAsia" w:ascii="宋体" w:hAnsi="宋体" w:cs="宋体"/>
                <w:sz w:val="21"/>
                <w:szCs w:val="21"/>
              </w:rPr>
              <w:t>2、▲区块链任务教学讲义：根据不同模块不同任务，在平台内为教师配备相应的授课讲义。</w:t>
            </w:r>
          </w:p>
          <w:p>
            <w:pPr>
              <w:spacing w:line="520" w:lineRule="exact"/>
              <w:rPr>
                <w:rFonts w:ascii="宋体" w:hAnsi="宋体" w:cs="宋体"/>
                <w:sz w:val="21"/>
                <w:szCs w:val="21"/>
              </w:rPr>
            </w:pPr>
            <w:r>
              <w:rPr>
                <w:rFonts w:hint="eastAsia" w:ascii="宋体" w:hAnsi="宋体" w:cs="宋体"/>
                <w:sz w:val="21"/>
                <w:szCs w:val="21"/>
              </w:rPr>
              <w:t>3、区块链课件资源库：在教师端给老师提供不同教学模块相应的视频资源、PDF资源。</w:t>
            </w:r>
          </w:p>
          <w:p>
            <w:pPr>
              <w:spacing w:line="520" w:lineRule="exact"/>
              <w:rPr>
                <w:rFonts w:ascii="宋体" w:hAnsi="宋体" w:cs="宋体"/>
                <w:sz w:val="21"/>
                <w:szCs w:val="21"/>
              </w:rPr>
            </w:pPr>
            <w:r>
              <w:rPr>
                <w:rFonts w:hint="eastAsia" w:ascii="宋体" w:hAnsi="宋体" w:cs="宋体"/>
                <w:sz w:val="21"/>
                <w:szCs w:val="21"/>
              </w:rPr>
              <w:t>4、提供区块链思维画布、区块链分析画布、区块链分类总结画布、区块链大事件画布等不少于4种。</w:t>
            </w:r>
          </w:p>
          <w:p>
            <w:pPr>
              <w:spacing w:line="520" w:lineRule="exact"/>
              <w:rPr>
                <w:rFonts w:ascii="宋体" w:hAnsi="宋体" w:cs="宋体"/>
                <w:sz w:val="21"/>
                <w:szCs w:val="21"/>
              </w:rPr>
            </w:pPr>
            <w:r>
              <w:rPr>
                <w:rFonts w:hint="eastAsia" w:ascii="宋体" w:hAnsi="宋体" w:cs="宋体"/>
                <w:sz w:val="21"/>
                <w:szCs w:val="21"/>
              </w:rPr>
              <w:t>5、区块链教学课件：提供平台配套的教学课件，根据模块划分课件内容，包括：实训任务的背景介绍、业务操作指引、业务相关理论等。</w:t>
            </w:r>
          </w:p>
          <w:p>
            <w:pPr>
              <w:spacing w:line="520" w:lineRule="exact"/>
              <w:jc w:val="center"/>
              <w:rPr>
                <w:rFonts w:ascii="宋体" w:hAnsi="宋体" w:cs="宋体"/>
                <w:sz w:val="21"/>
                <w:szCs w:val="21"/>
              </w:rPr>
            </w:pPr>
            <w:r>
              <w:rPr>
                <w:rFonts w:hint="eastAsia" w:ascii="宋体" w:hAnsi="宋体" w:cs="宋体"/>
                <w:sz w:val="21"/>
                <w:szCs w:val="21"/>
              </w:rPr>
              <w:t>6、区块链实训道具：提供区块链实训的道具，包括区块链游戏道具、区块链案例中的营业执照、合同、票据等电子教具。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9" w:type="pct"/>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ascii="宋体" w:hAnsi="宋体" w:cs="宋体"/>
                <w:sz w:val="21"/>
                <w:szCs w:val="21"/>
              </w:rPr>
            </w:pPr>
            <w:r>
              <w:rPr>
                <w:rFonts w:hint="eastAsia" w:ascii="宋体" w:hAnsi="宋体" w:cs="宋体"/>
                <w:sz w:val="21"/>
                <w:szCs w:val="21"/>
              </w:rPr>
              <w:t>2</w:t>
            </w:r>
          </w:p>
        </w:tc>
        <w:tc>
          <w:tcPr>
            <w:tcW w:w="1029" w:type="pct"/>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ascii="宋体" w:hAnsi="宋体" w:cs="宋体"/>
                <w:sz w:val="21"/>
                <w:szCs w:val="21"/>
              </w:rPr>
            </w:pPr>
            <w:r>
              <w:rPr>
                <w:rFonts w:hint="eastAsia" w:ascii="宋体" w:hAnsi="宋体" w:cs="宋体"/>
                <w:sz w:val="21"/>
                <w:szCs w:val="21"/>
              </w:rPr>
              <w:t>智能金融服务机器人</w:t>
            </w:r>
          </w:p>
        </w:tc>
        <w:tc>
          <w:tcPr>
            <w:tcW w:w="3562" w:type="pct"/>
            <w:tcBorders>
              <w:top w:val="single" w:color="000000" w:sz="4" w:space="0"/>
              <w:left w:val="single" w:color="000000" w:sz="4" w:space="0"/>
              <w:bottom w:val="single" w:color="000000" w:sz="4" w:space="0"/>
              <w:right w:val="single" w:color="auto" w:sz="4" w:space="0"/>
            </w:tcBorders>
          </w:tcPr>
          <w:p>
            <w:pPr>
              <w:spacing w:line="520" w:lineRule="exact"/>
              <w:rPr>
                <w:rFonts w:ascii="宋体" w:hAnsi="宋体" w:cs="宋体"/>
                <w:sz w:val="21"/>
                <w:szCs w:val="21"/>
              </w:rPr>
            </w:pPr>
            <w:r>
              <w:rPr>
                <w:rFonts w:hint="eastAsia" w:ascii="宋体" w:hAnsi="宋体" w:cs="宋体"/>
                <w:sz w:val="21"/>
                <w:szCs w:val="21"/>
              </w:rPr>
              <w:t>一、金融服务机器人硬件要求参数</w:t>
            </w:r>
          </w:p>
          <w:p>
            <w:pPr>
              <w:spacing w:line="520" w:lineRule="exact"/>
              <w:rPr>
                <w:rFonts w:ascii="宋体" w:hAnsi="宋体" w:cs="宋体"/>
                <w:sz w:val="21"/>
                <w:szCs w:val="21"/>
              </w:rPr>
            </w:pPr>
            <w:r>
              <w:rPr>
                <w:rFonts w:hint="eastAsia" w:ascii="宋体" w:hAnsi="宋体" w:cs="宋体"/>
                <w:sz w:val="21"/>
                <w:szCs w:val="21"/>
              </w:rPr>
              <w:t>▲1. 产品尺寸：要求高度会随着机器姿态不同而变化。高度不小于1250mm，不大于1400mm。</w:t>
            </w:r>
          </w:p>
          <w:p>
            <w:pPr>
              <w:spacing w:line="520" w:lineRule="exact"/>
              <w:rPr>
                <w:rFonts w:ascii="宋体" w:hAnsi="宋体" w:cs="宋体"/>
                <w:sz w:val="21"/>
                <w:szCs w:val="21"/>
              </w:rPr>
            </w:pPr>
            <w:r>
              <w:rPr>
                <w:rFonts w:hint="eastAsia" w:ascii="宋体" w:hAnsi="宋体" w:cs="宋体"/>
                <w:sz w:val="21"/>
                <w:szCs w:val="21"/>
              </w:rPr>
              <w:t>2. 产品净重：不大于50kg。</w:t>
            </w:r>
            <w:r>
              <w:rPr>
                <w:rFonts w:hint="eastAsia" w:ascii="宋体" w:hAnsi="宋体" w:cs="宋体"/>
                <w:sz w:val="21"/>
                <w:szCs w:val="21"/>
              </w:rPr>
              <w:tab/>
            </w:r>
          </w:p>
          <w:p>
            <w:pPr>
              <w:spacing w:line="520" w:lineRule="exact"/>
              <w:rPr>
                <w:rFonts w:ascii="宋体" w:hAnsi="宋体" w:cs="宋体"/>
                <w:sz w:val="21"/>
                <w:szCs w:val="21"/>
              </w:rPr>
            </w:pPr>
            <w:r>
              <w:rPr>
                <w:rFonts w:hint="eastAsia" w:ascii="宋体" w:hAnsi="宋体" w:cs="宋体"/>
                <w:sz w:val="21"/>
                <w:szCs w:val="21"/>
              </w:rPr>
              <w:t>3. 产品功能：需要具备云平台、智能金融知识库、大数据平台、远程报警、视频会议等功能。</w:t>
            </w:r>
          </w:p>
          <w:p>
            <w:pPr>
              <w:spacing w:line="520" w:lineRule="exact"/>
              <w:rPr>
                <w:rFonts w:ascii="宋体" w:hAnsi="宋体" w:cs="宋体"/>
                <w:sz w:val="21"/>
                <w:szCs w:val="21"/>
              </w:rPr>
            </w:pPr>
            <w:r>
              <w:rPr>
                <w:rFonts w:hint="eastAsia" w:ascii="宋体" w:hAnsi="宋体" w:cs="宋体"/>
                <w:sz w:val="21"/>
                <w:szCs w:val="21"/>
              </w:rPr>
              <w:t>4. 屏幕：屏幕尺寸不大于10.3英寸。</w:t>
            </w:r>
          </w:p>
          <w:p>
            <w:pPr>
              <w:spacing w:line="520" w:lineRule="exact"/>
              <w:rPr>
                <w:rFonts w:ascii="宋体" w:hAnsi="宋体" w:cs="宋体"/>
                <w:sz w:val="21"/>
                <w:szCs w:val="21"/>
              </w:rPr>
            </w:pPr>
            <w:r>
              <w:rPr>
                <w:rFonts w:hint="eastAsia" w:ascii="宋体" w:hAnsi="宋体" w:cs="宋体"/>
                <w:sz w:val="21"/>
                <w:szCs w:val="21"/>
              </w:rPr>
              <w:t>5. 屏幕分辨率可支持1200px * 1920px。</w:t>
            </w:r>
          </w:p>
          <w:p>
            <w:pPr>
              <w:spacing w:line="520" w:lineRule="exact"/>
              <w:rPr>
                <w:rFonts w:ascii="宋体" w:hAnsi="宋体" w:cs="宋体"/>
                <w:sz w:val="21"/>
                <w:szCs w:val="21"/>
              </w:rPr>
            </w:pPr>
            <w:r>
              <w:rPr>
                <w:rFonts w:hint="eastAsia" w:ascii="宋体" w:hAnsi="宋体" w:cs="宋体"/>
                <w:sz w:val="21"/>
                <w:szCs w:val="21"/>
              </w:rPr>
              <w:t>▲6. 麦克风数量不低于4个，可支持360度远近场全面覆盖。</w:t>
            </w:r>
          </w:p>
          <w:p>
            <w:pPr>
              <w:spacing w:line="520" w:lineRule="exact"/>
              <w:rPr>
                <w:rFonts w:ascii="宋体" w:hAnsi="宋体" w:cs="宋体"/>
                <w:sz w:val="21"/>
                <w:szCs w:val="21"/>
              </w:rPr>
            </w:pPr>
            <w:r>
              <w:rPr>
                <w:rFonts w:hint="eastAsia" w:ascii="宋体" w:hAnsi="宋体" w:cs="宋体"/>
                <w:sz w:val="21"/>
                <w:szCs w:val="21"/>
              </w:rPr>
              <w:t>7. RGB摄像头至少1个，主要用于导航、避障</w:t>
            </w:r>
            <w:r>
              <w:rPr>
                <w:rFonts w:hint="eastAsia" w:ascii="宋体" w:hAnsi="宋体" w:cs="宋体"/>
                <w:sz w:val="21"/>
                <w:szCs w:val="21"/>
              </w:rPr>
              <w:tab/>
            </w:r>
            <w:r>
              <w:rPr>
                <w:rFonts w:hint="eastAsia" w:ascii="宋体" w:hAnsi="宋体" w:cs="宋体"/>
                <w:sz w:val="21"/>
                <w:szCs w:val="21"/>
              </w:rPr>
              <w:t>。</w:t>
            </w:r>
          </w:p>
          <w:p>
            <w:pPr>
              <w:spacing w:line="520" w:lineRule="exact"/>
              <w:rPr>
                <w:rFonts w:ascii="宋体" w:hAnsi="宋体" w:cs="宋体"/>
                <w:sz w:val="21"/>
                <w:szCs w:val="21"/>
              </w:rPr>
            </w:pPr>
            <w:r>
              <w:rPr>
                <w:rFonts w:hint="eastAsia" w:ascii="宋体" w:hAnsi="宋体" w:cs="宋体"/>
                <w:sz w:val="21"/>
                <w:szCs w:val="21"/>
              </w:rPr>
              <w:t>▲8 RGBD深度摄像头：深度测距摄像头≥2个。</w:t>
            </w:r>
          </w:p>
          <w:p>
            <w:pPr>
              <w:spacing w:line="520" w:lineRule="exact"/>
              <w:rPr>
                <w:rFonts w:ascii="宋体" w:hAnsi="宋体" w:cs="宋体"/>
                <w:sz w:val="21"/>
                <w:szCs w:val="21"/>
              </w:rPr>
            </w:pPr>
            <w:r>
              <w:rPr>
                <w:rFonts w:hint="eastAsia" w:ascii="宋体" w:hAnsi="宋体" w:cs="宋体"/>
                <w:sz w:val="21"/>
                <w:szCs w:val="21"/>
              </w:rPr>
              <w:t>9.头部可旋转，可支持角度变化：水平方向：-180°~+90°，俯仰方向：-5°至+30°</w:t>
            </w:r>
          </w:p>
          <w:p>
            <w:pPr>
              <w:spacing w:line="520" w:lineRule="exact"/>
              <w:rPr>
                <w:rFonts w:ascii="宋体" w:hAnsi="宋体" w:cs="宋体"/>
                <w:sz w:val="21"/>
                <w:szCs w:val="21"/>
              </w:rPr>
            </w:pPr>
            <w:r>
              <w:rPr>
                <w:rFonts w:hint="eastAsia" w:ascii="宋体" w:hAnsi="宋体" w:cs="宋体"/>
                <w:sz w:val="21"/>
                <w:szCs w:val="21"/>
              </w:rPr>
              <w:t>▲11. 拍照摄像头部分：像素≥1200万有效像素。</w:t>
            </w:r>
          </w:p>
          <w:p>
            <w:pPr>
              <w:spacing w:line="520" w:lineRule="exact"/>
              <w:rPr>
                <w:rFonts w:ascii="宋体" w:hAnsi="宋体" w:cs="宋体"/>
                <w:sz w:val="21"/>
                <w:szCs w:val="21"/>
              </w:rPr>
            </w:pPr>
            <w:r>
              <w:rPr>
                <w:rFonts w:hint="eastAsia" w:ascii="宋体" w:hAnsi="宋体" w:cs="宋体"/>
                <w:sz w:val="21"/>
                <w:szCs w:val="21"/>
              </w:rPr>
              <w:t>12. 避障功能：支持自动避障，灵活避障，遇到行人和障碍物主动避开。</w:t>
            </w:r>
          </w:p>
          <w:p>
            <w:pPr>
              <w:spacing w:line="520" w:lineRule="exact"/>
              <w:rPr>
                <w:rFonts w:ascii="宋体" w:hAnsi="宋体" w:cs="宋体"/>
                <w:sz w:val="21"/>
                <w:szCs w:val="21"/>
              </w:rPr>
            </w:pPr>
            <w:r>
              <w:rPr>
                <w:rFonts w:hint="eastAsia" w:ascii="宋体" w:hAnsi="宋体" w:cs="宋体"/>
                <w:sz w:val="21"/>
                <w:szCs w:val="21"/>
              </w:rPr>
              <w:t>13. 运营商支持：能支持三网通信；移动:3G/4G 联通:3G/4G 电信:4G(仅供上网使用)。</w:t>
            </w:r>
          </w:p>
          <w:p>
            <w:pPr>
              <w:spacing w:line="520" w:lineRule="exact"/>
              <w:rPr>
                <w:rFonts w:ascii="宋体" w:hAnsi="宋体" w:cs="宋体"/>
                <w:sz w:val="21"/>
                <w:szCs w:val="21"/>
              </w:rPr>
            </w:pPr>
            <w:r>
              <w:rPr>
                <w:rFonts w:hint="eastAsia" w:ascii="宋体" w:hAnsi="宋体" w:cs="宋体"/>
                <w:sz w:val="21"/>
                <w:szCs w:val="21"/>
              </w:rPr>
              <w:t>14. 支持无线连接：Wi-Fi：2.4G/5G 5725-5852MHz 2400-2483.5MHz；支持蓝牙。</w:t>
            </w:r>
          </w:p>
          <w:p>
            <w:pPr>
              <w:spacing w:line="520" w:lineRule="exact"/>
              <w:rPr>
                <w:rFonts w:ascii="宋体" w:hAnsi="宋体" w:cs="宋体"/>
                <w:sz w:val="21"/>
                <w:szCs w:val="21"/>
              </w:rPr>
            </w:pPr>
            <w:r>
              <w:rPr>
                <w:rFonts w:hint="eastAsia" w:ascii="宋体" w:hAnsi="宋体" w:cs="宋体"/>
                <w:sz w:val="21"/>
                <w:szCs w:val="21"/>
              </w:rPr>
              <w:t>15. 移动速度：支持可调节，最大速度不低于0.5m/s。</w:t>
            </w:r>
          </w:p>
          <w:p>
            <w:pPr>
              <w:spacing w:line="520" w:lineRule="exact"/>
              <w:rPr>
                <w:rFonts w:ascii="宋体" w:hAnsi="宋体" w:cs="宋体"/>
                <w:sz w:val="21"/>
                <w:szCs w:val="21"/>
              </w:rPr>
            </w:pPr>
            <w:r>
              <w:rPr>
                <w:rFonts w:hint="eastAsia" w:ascii="宋体" w:hAnsi="宋体" w:cs="宋体"/>
                <w:sz w:val="21"/>
                <w:szCs w:val="21"/>
              </w:rPr>
              <w:t>16.操作系统：必须基于Android 7.0及以上。</w:t>
            </w:r>
          </w:p>
          <w:p>
            <w:pPr>
              <w:spacing w:line="520" w:lineRule="exact"/>
              <w:rPr>
                <w:rFonts w:ascii="宋体" w:hAnsi="宋体" w:cs="宋体"/>
                <w:sz w:val="21"/>
                <w:szCs w:val="21"/>
              </w:rPr>
            </w:pPr>
            <w:r>
              <w:rPr>
                <w:rFonts w:hint="eastAsia" w:ascii="宋体" w:hAnsi="宋体" w:cs="宋体"/>
                <w:sz w:val="21"/>
                <w:szCs w:val="21"/>
              </w:rPr>
              <w:t>17.RAM(内存)不低于4G，ROM(容量)不低于64G。</w:t>
            </w:r>
          </w:p>
          <w:p>
            <w:pPr>
              <w:spacing w:line="520" w:lineRule="exact"/>
              <w:rPr>
                <w:rFonts w:ascii="宋体" w:hAnsi="宋体" w:cs="宋体"/>
                <w:sz w:val="21"/>
                <w:szCs w:val="21"/>
              </w:rPr>
            </w:pPr>
            <w:r>
              <w:rPr>
                <w:rFonts w:hint="eastAsia" w:ascii="宋体" w:hAnsi="宋体" w:cs="宋体"/>
                <w:sz w:val="21"/>
                <w:szCs w:val="21"/>
              </w:rPr>
              <w:t>18. 噪音：静止状态下≤45dB。</w:t>
            </w:r>
          </w:p>
          <w:p>
            <w:pPr>
              <w:spacing w:line="520" w:lineRule="exact"/>
              <w:rPr>
                <w:rFonts w:ascii="宋体" w:hAnsi="宋体" w:cs="宋体"/>
                <w:sz w:val="21"/>
                <w:szCs w:val="21"/>
              </w:rPr>
            </w:pPr>
            <w:r>
              <w:rPr>
                <w:rFonts w:hint="eastAsia" w:ascii="宋体" w:hAnsi="宋体" w:cs="宋体"/>
                <w:sz w:val="21"/>
                <w:szCs w:val="21"/>
              </w:rPr>
              <w:t>19.充电桩规格：输入198~240V 50/60 Hz 1A，max 12A，输出29.4V12A，有待机状态、充电、故障等指示灯显示，可实现自主回充。</w:t>
            </w:r>
          </w:p>
          <w:p>
            <w:pPr>
              <w:spacing w:line="520" w:lineRule="exact"/>
              <w:rPr>
                <w:rFonts w:ascii="宋体" w:hAnsi="宋体" w:cs="宋体"/>
                <w:sz w:val="21"/>
                <w:szCs w:val="21"/>
              </w:rPr>
            </w:pPr>
            <w:r>
              <w:rPr>
                <w:rFonts w:hint="eastAsia" w:ascii="宋体" w:hAnsi="宋体" w:cs="宋体"/>
                <w:sz w:val="21"/>
                <w:szCs w:val="21"/>
              </w:rPr>
              <w:t>二、金融服务机器人功能参数</w:t>
            </w:r>
          </w:p>
          <w:p>
            <w:pPr>
              <w:spacing w:line="520" w:lineRule="exact"/>
              <w:rPr>
                <w:rFonts w:ascii="宋体" w:hAnsi="宋体" w:cs="宋体"/>
                <w:sz w:val="21"/>
                <w:szCs w:val="21"/>
              </w:rPr>
            </w:pPr>
            <w:r>
              <w:rPr>
                <w:rFonts w:hint="eastAsia" w:ascii="宋体" w:hAnsi="宋体" w:cs="宋体"/>
                <w:sz w:val="21"/>
                <w:szCs w:val="21"/>
              </w:rPr>
              <w:t>★1.智能语音：智能语音识别（基于关键字），结合金融知识库（每年自动更新），可以自主回答问题。</w:t>
            </w:r>
          </w:p>
          <w:p>
            <w:pPr>
              <w:spacing w:line="520" w:lineRule="exact"/>
              <w:rPr>
                <w:rFonts w:ascii="宋体" w:hAnsi="宋体" w:cs="宋体"/>
                <w:sz w:val="21"/>
                <w:szCs w:val="21"/>
              </w:rPr>
            </w:pPr>
            <w:r>
              <w:rPr>
                <w:rFonts w:hint="eastAsia" w:ascii="宋体" w:hAnsi="宋体" w:cs="宋体"/>
                <w:sz w:val="21"/>
                <w:szCs w:val="21"/>
              </w:rPr>
              <w:t>★2.人脸识别：须支持人脸识别，人脸跟随；≤300ms反馈时间，支持个人化问候，可推荐业务，须支持云端数据库，自动同步更新数据。</w:t>
            </w:r>
          </w:p>
          <w:p>
            <w:pPr>
              <w:spacing w:line="520" w:lineRule="exact"/>
              <w:rPr>
                <w:rFonts w:ascii="宋体" w:hAnsi="宋体" w:cs="宋体"/>
                <w:sz w:val="21"/>
                <w:szCs w:val="21"/>
              </w:rPr>
            </w:pPr>
            <w:r>
              <w:rPr>
                <w:rFonts w:hint="eastAsia" w:ascii="宋体" w:hAnsi="宋体" w:cs="宋体"/>
                <w:sz w:val="21"/>
                <w:szCs w:val="21"/>
              </w:rPr>
              <w:t>3.端后台功能：需要自带NLP开发后台（云服务），能进行NLP自然语言处理的开发，同时能进行NLP内容导入、管理、学习，并能对语音交互数据进行记录。</w:t>
            </w:r>
          </w:p>
          <w:p>
            <w:pPr>
              <w:spacing w:line="520" w:lineRule="exact"/>
              <w:rPr>
                <w:rFonts w:ascii="宋体" w:hAnsi="宋体" w:cs="宋体"/>
                <w:sz w:val="21"/>
                <w:szCs w:val="21"/>
              </w:rPr>
            </w:pPr>
            <w:r>
              <w:rPr>
                <w:rFonts w:hint="eastAsia" w:ascii="宋体" w:hAnsi="宋体" w:cs="宋体"/>
                <w:sz w:val="21"/>
                <w:szCs w:val="21"/>
              </w:rPr>
              <w:t>4. TTS更改功能：支持不低于两种或两种以上的音色进行更换。</w:t>
            </w:r>
          </w:p>
          <w:p>
            <w:pPr>
              <w:spacing w:line="520" w:lineRule="exact"/>
              <w:rPr>
                <w:rFonts w:ascii="宋体" w:hAnsi="宋体" w:cs="宋体"/>
                <w:sz w:val="21"/>
                <w:szCs w:val="21"/>
              </w:rPr>
            </w:pPr>
            <w:r>
              <w:rPr>
                <w:rFonts w:hint="eastAsia" w:ascii="宋体" w:hAnsi="宋体" w:cs="宋体"/>
                <w:sz w:val="21"/>
                <w:szCs w:val="21"/>
              </w:rPr>
              <w:t>★5. 远程功能：支持远程操作，远程金融会议视频通话，远程遥控，远程监控，远程OTA升系统级。</w:t>
            </w:r>
          </w:p>
          <w:p>
            <w:pPr>
              <w:spacing w:line="520" w:lineRule="exact"/>
              <w:rPr>
                <w:rFonts w:ascii="宋体" w:hAnsi="宋体" w:cs="宋体"/>
                <w:sz w:val="21"/>
                <w:szCs w:val="21"/>
              </w:rPr>
            </w:pPr>
            <w:r>
              <w:rPr>
                <w:rFonts w:hint="eastAsia" w:ascii="宋体" w:hAnsi="宋体" w:cs="宋体"/>
                <w:sz w:val="21"/>
                <w:szCs w:val="21"/>
              </w:rPr>
              <w:t>▲6.软件系统特性：支持根据每台机器配置不同的算法模型，支持自定义配置主页，具备大数据平台，可定期提供分析报告（不少于一季度一次），用作智能机器人日常使用情况、数据分析及客户咨询问题分析。</w:t>
            </w:r>
          </w:p>
          <w:p>
            <w:pPr>
              <w:spacing w:line="520" w:lineRule="exact"/>
              <w:rPr>
                <w:rFonts w:ascii="宋体" w:hAnsi="宋体" w:cs="宋体"/>
                <w:sz w:val="21"/>
                <w:szCs w:val="21"/>
              </w:rPr>
            </w:pPr>
            <w:r>
              <w:rPr>
                <w:rFonts w:hint="eastAsia" w:ascii="宋体" w:hAnsi="宋体" w:cs="宋体"/>
                <w:sz w:val="21"/>
                <w:szCs w:val="21"/>
              </w:rPr>
              <w:t>7.机构管理：有员工/访客/管理员；可为金融机构员工上传照片，并提供维护专属金融词库，专属词的配置能大大提高语音识别的准确率，附带机构智慧考勤功能。</w:t>
            </w:r>
          </w:p>
          <w:p>
            <w:pPr>
              <w:spacing w:line="520" w:lineRule="exact"/>
              <w:rPr>
                <w:rFonts w:ascii="宋体" w:hAnsi="宋体" w:cs="宋体"/>
                <w:sz w:val="21"/>
                <w:szCs w:val="21"/>
              </w:rPr>
            </w:pPr>
            <w:r>
              <w:rPr>
                <w:rFonts w:hint="eastAsia" w:ascii="宋体" w:hAnsi="宋体" w:cs="宋体"/>
                <w:sz w:val="21"/>
                <w:szCs w:val="21"/>
              </w:rPr>
              <w:t>▲8.小程序便捷管理工具：支持小程序端视频监控、访客邀约和机器人运营状态便捷查询。</w:t>
            </w:r>
          </w:p>
          <w:p>
            <w:pPr>
              <w:spacing w:line="520" w:lineRule="exact"/>
              <w:rPr>
                <w:rFonts w:ascii="宋体" w:hAnsi="宋体" w:cs="宋体"/>
                <w:sz w:val="21"/>
                <w:szCs w:val="21"/>
              </w:rPr>
            </w:pPr>
            <w:r>
              <w:rPr>
                <w:rFonts w:hint="eastAsia" w:ascii="宋体" w:hAnsi="宋体" w:cs="宋体"/>
                <w:sz w:val="21"/>
                <w:szCs w:val="21"/>
              </w:rPr>
              <w:t>9.支持远程控制系统，具备后台数据统计功能，能够记录设备使用状态及常见客户咨询问题，支持轻应用中心，支持URL导入，支持小程序、web端对机器管理，实时查看机器人设备当前状态，进行访客邀约、控制机器人充电。</w:t>
            </w:r>
          </w:p>
          <w:p>
            <w:pPr>
              <w:spacing w:line="520" w:lineRule="exact"/>
              <w:rPr>
                <w:rFonts w:ascii="宋体" w:hAnsi="宋体" w:cs="宋体"/>
                <w:sz w:val="21"/>
                <w:szCs w:val="21"/>
              </w:rPr>
            </w:pPr>
            <w:r>
              <w:rPr>
                <w:rFonts w:hint="eastAsia" w:ascii="宋体" w:hAnsi="宋体" w:cs="宋体"/>
                <w:sz w:val="21"/>
                <w:szCs w:val="21"/>
              </w:rPr>
              <w:t>10.远程智能授课功能：可自主控制多媒体展示设备，具备多媒体讲解PPT控制。</w:t>
            </w:r>
          </w:p>
          <w:p>
            <w:pPr>
              <w:spacing w:line="520" w:lineRule="exact"/>
              <w:rPr>
                <w:rFonts w:ascii="宋体" w:hAnsi="宋体" w:cs="宋体"/>
                <w:sz w:val="21"/>
                <w:szCs w:val="21"/>
              </w:rPr>
            </w:pPr>
            <w:r>
              <w:rPr>
                <w:rFonts w:hint="eastAsia" w:ascii="宋体" w:hAnsi="宋体" w:cs="宋体"/>
                <w:sz w:val="21"/>
                <w:szCs w:val="21"/>
              </w:rPr>
              <w:t>▲11.智能金融机器人服务一体化设备，实现对金融相关知识讲解、人机互动、教学视频指导，智能学习，真实再现金融科技人机互动的场景和体验。</w:t>
            </w:r>
          </w:p>
          <w:p>
            <w:pPr>
              <w:spacing w:line="520" w:lineRule="exact"/>
              <w:rPr>
                <w:rFonts w:ascii="宋体" w:hAnsi="宋体" w:cs="宋体"/>
                <w:sz w:val="21"/>
                <w:szCs w:val="21"/>
              </w:rPr>
            </w:pPr>
            <w:r>
              <w:rPr>
                <w:rFonts w:hint="eastAsia" w:ascii="宋体" w:hAnsi="宋体" w:cs="宋体"/>
                <w:sz w:val="21"/>
                <w:szCs w:val="21"/>
              </w:rPr>
              <w:t>12.理财产品推介，二次营销基于人-机交互技术，可以优先推荐产品。</w:t>
            </w:r>
          </w:p>
          <w:p>
            <w:pPr>
              <w:spacing w:line="520" w:lineRule="exact"/>
              <w:rPr>
                <w:rFonts w:ascii="宋体" w:hAnsi="宋体" w:cs="宋体"/>
                <w:sz w:val="21"/>
                <w:szCs w:val="21"/>
              </w:rPr>
            </w:pPr>
            <w:r>
              <w:rPr>
                <w:rFonts w:hint="eastAsia" w:ascii="宋体" w:hAnsi="宋体" w:cs="宋体"/>
                <w:sz w:val="21"/>
                <w:szCs w:val="21"/>
              </w:rPr>
              <w:t>13.语音操作系统：支持远场语音识别技术，正常环境下 5米范围内，识别准确率可达 95%以上。</w:t>
            </w:r>
          </w:p>
          <w:p>
            <w:pPr>
              <w:spacing w:line="520" w:lineRule="exact"/>
              <w:rPr>
                <w:rFonts w:ascii="宋体" w:hAnsi="宋体" w:cs="宋体"/>
                <w:sz w:val="21"/>
                <w:szCs w:val="21"/>
              </w:rPr>
            </w:pPr>
            <w:r>
              <w:rPr>
                <w:rFonts w:hint="eastAsia" w:ascii="宋体" w:hAnsi="宋体" w:cs="宋体"/>
                <w:sz w:val="21"/>
                <w:szCs w:val="21"/>
              </w:rPr>
              <w:t>▲14. 智能语音分析：支持查看过去至少7天内的历史对话统计，实时报表。</w:t>
            </w:r>
          </w:p>
          <w:p>
            <w:pPr>
              <w:spacing w:line="520" w:lineRule="exact"/>
              <w:rPr>
                <w:rFonts w:ascii="宋体" w:hAnsi="宋体" w:cs="宋体"/>
                <w:sz w:val="21"/>
                <w:szCs w:val="21"/>
              </w:rPr>
            </w:pPr>
            <w:r>
              <w:rPr>
                <w:rFonts w:hint="eastAsia" w:ascii="宋体" w:hAnsi="宋体" w:cs="宋体"/>
                <w:sz w:val="21"/>
                <w:szCs w:val="21"/>
              </w:rPr>
              <w:t>▲15. 金融科技创新视频指导，内置《信用创新》、《商业银行创新》金融科技课程视频，支持数字金融数字化创新普及。</w:t>
            </w:r>
          </w:p>
          <w:p>
            <w:pPr>
              <w:spacing w:line="520" w:lineRule="exact"/>
              <w:rPr>
                <w:rFonts w:ascii="宋体" w:hAnsi="宋体" w:cs="宋体"/>
                <w:sz w:val="21"/>
                <w:szCs w:val="21"/>
              </w:rPr>
            </w:pPr>
            <w:r>
              <w:rPr>
                <w:rFonts w:hint="eastAsia" w:ascii="宋体" w:hAnsi="宋体" w:cs="宋体"/>
                <w:sz w:val="21"/>
                <w:szCs w:val="21"/>
              </w:rPr>
              <w:t>16. 银行智慧网点智能语料与知识图谱至少包含：理财、境外交易、公司账户理财、单位结算卡、电子银行手机银行、个人转账、贵金属、个人业务转账、银行贷、个人一手房住房贷款、活期存款利率、一年期、二年期、三年定期存款基准利率、银行大额存单、结构性存款、金融衍生工具、国家助学贷款、留学贷款、个人商用住房贷款、个人公积金贷款、信用贷款业务、担保贷款业务、票据贴现业务、综合授信业务、委托贷款业务、信用担保贷款业务、项目开发贷款业务、个人委托贷款业务、保付代理业务、自助贷款业务。。</w:t>
            </w:r>
          </w:p>
          <w:p>
            <w:pPr>
              <w:spacing w:line="520" w:lineRule="exact"/>
              <w:rPr>
                <w:rFonts w:ascii="宋体" w:hAnsi="宋体" w:cs="宋体"/>
                <w:sz w:val="21"/>
                <w:szCs w:val="21"/>
              </w:rPr>
            </w:pPr>
            <w:r>
              <w:rPr>
                <w:rFonts w:hint="eastAsia" w:ascii="宋体" w:hAnsi="宋体" w:cs="宋体"/>
                <w:sz w:val="21"/>
                <w:szCs w:val="21"/>
              </w:rPr>
              <w:t>17.金融科技企业定向智慧金融服务智能语料与知识图谱至少包含固定资产贷款、企业流动资金贷款、房地产企业贷款、企业法人账户透支、企业委托贷款、电子商业汇票转贴现、电子商业汇票贴现、财务顾问、企业短期融资券、企业融资评标、企业中期票据、结构性融资、票据贴现、境外本外币融资。。</w:t>
            </w:r>
          </w:p>
          <w:p>
            <w:pPr>
              <w:spacing w:line="520" w:lineRule="exact"/>
              <w:rPr>
                <w:rFonts w:ascii="宋体" w:hAnsi="宋体" w:cs="宋体"/>
                <w:sz w:val="21"/>
                <w:szCs w:val="21"/>
              </w:rPr>
            </w:pPr>
            <w:r>
              <w:rPr>
                <w:rFonts w:hint="eastAsia" w:ascii="宋体" w:hAnsi="宋体" w:cs="宋体"/>
                <w:sz w:val="21"/>
                <w:szCs w:val="21"/>
              </w:rPr>
              <w:t>18.金融科技企业定向特色服务智能语料至少包含全球统一授信、银团贷款、出口买方信贷、出口卖方信贷、项目融资、可撤销贷款承诺函、不可撤销贷款承诺函、现汇贷款、授信额度、境外本外币融资、综合授信业务、银行贷-流动资金贷款、信用担保贷款业务、项目开发贷款业务。</w:t>
            </w:r>
          </w:p>
          <w:p>
            <w:pPr>
              <w:spacing w:line="520" w:lineRule="exact"/>
              <w:rPr>
                <w:rFonts w:ascii="宋体" w:hAnsi="宋体" w:cs="宋体"/>
                <w:sz w:val="21"/>
                <w:szCs w:val="21"/>
              </w:rPr>
            </w:pPr>
            <w:r>
              <w:rPr>
                <w:rFonts w:hint="eastAsia" w:ascii="宋体" w:hAnsi="宋体" w:cs="宋体"/>
                <w:sz w:val="21"/>
                <w:szCs w:val="21"/>
              </w:rPr>
              <w:t>19.金融市场债券智能语料至少包含无记名式国债业务、凭证式国债业务、记账式国债业务、国债现货交易业务、债券的票面价值与债权人、债券评级与风险、企业发债担保、国债网点、地方政府债券、金融债券、债券回购交易</w:t>
            </w:r>
          </w:p>
        </w:tc>
      </w:tr>
    </w:tbl>
    <w:p>
      <w:pPr>
        <w:pStyle w:val="3"/>
        <w:numPr>
          <w:ilvl w:val="0"/>
          <w:numId w:val="0"/>
        </w:numPr>
        <w:spacing w:line="520" w:lineRule="exact"/>
        <w:ind w:left="576" w:hanging="576"/>
        <w:rPr>
          <w:rFonts w:ascii="仿宋" w:hAnsi="仿宋" w:eastAsia="仿宋" w:cs="仿宋"/>
          <w:sz w:val="28"/>
          <w:szCs w:val="28"/>
        </w:rPr>
      </w:pPr>
      <w:r>
        <w:rPr>
          <w:rFonts w:hint="eastAsia" w:ascii="仿宋" w:hAnsi="仿宋" w:eastAsia="仿宋" w:cs="仿宋"/>
          <w:sz w:val="28"/>
          <w:szCs w:val="28"/>
        </w:rPr>
        <w:t>三、项目商务要求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2061"/>
        <w:gridCol w:w="6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pct"/>
            <w:vAlign w:val="center"/>
          </w:tcPr>
          <w:p>
            <w:pPr>
              <w:spacing w:line="520" w:lineRule="exact"/>
              <w:jc w:val="center"/>
              <w:rPr>
                <w:rFonts w:ascii="宋体" w:hAnsi="宋体" w:cs="宋体"/>
                <w:b/>
                <w:sz w:val="21"/>
                <w:szCs w:val="21"/>
              </w:rPr>
            </w:pPr>
            <w:r>
              <w:rPr>
                <w:rFonts w:hint="eastAsia" w:ascii="宋体" w:hAnsi="宋体" w:cs="宋体"/>
                <w:b/>
                <w:sz w:val="21"/>
                <w:szCs w:val="21"/>
              </w:rPr>
              <w:t>序号</w:t>
            </w:r>
          </w:p>
        </w:tc>
        <w:tc>
          <w:tcPr>
            <w:tcW w:w="1076" w:type="pct"/>
            <w:vAlign w:val="center"/>
          </w:tcPr>
          <w:p>
            <w:pPr>
              <w:spacing w:line="520" w:lineRule="exact"/>
              <w:jc w:val="center"/>
              <w:rPr>
                <w:rFonts w:ascii="宋体" w:hAnsi="宋体" w:cs="宋体"/>
                <w:b/>
                <w:sz w:val="21"/>
                <w:szCs w:val="21"/>
              </w:rPr>
            </w:pPr>
            <w:r>
              <w:rPr>
                <w:rFonts w:hint="eastAsia" w:ascii="宋体" w:hAnsi="宋体" w:cs="宋体"/>
                <w:b/>
                <w:sz w:val="21"/>
                <w:szCs w:val="21"/>
              </w:rPr>
              <w:t>目录</w:t>
            </w:r>
          </w:p>
        </w:tc>
        <w:tc>
          <w:tcPr>
            <w:tcW w:w="3434" w:type="pct"/>
            <w:vAlign w:val="center"/>
          </w:tcPr>
          <w:p>
            <w:pPr>
              <w:spacing w:line="520" w:lineRule="exact"/>
              <w:jc w:val="center"/>
              <w:rPr>
                <w:rFonts w:ascii="宋体" w:hAnsi="宋体" w:cs="宋体"/>
                <w:b/>
                <w:sz w:val="21"/>
                <w:szCs w:val="21"/>
              </w:rPr>
            </w:pPr>
            <w:r>
              <w:rPr>
                <w:rFonts w:hint="eastAsia" w:ascii="宋体" w:hAnsi="宋体" w:cs="宋体"/>
                <w:b/>
                <w:sz w:val="21"/>
                <w:szCs w:val="21"/>
              </w:rPr>
              <w:t>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490" w:type="pct"/>
            <w:vAlign w:val="center"/>
          </w:tcPr>
          <w:p>
            <w:pPr>
              <w:spacing w:line="520" w:lineRule="exact"/>
              <w:jc w:val="center"/>
              <w:rPr>
                <w:rFonts w:ascii="宋体" w:hAnsi="宋体" w:cs="宋体"/>
                <w:sz w:val="21"/>
                <w:szCs w:val="21"/>
              </w:rPr>
            </w:pPr>
            <w:r>
              <w:rPr>
                <w:rFonts w:hint="eastAsia" w:ascii="宋体" w:hAnsi="宋体" w:cs="宋体"/>
                <w:sz w:val="21"/>
                <w:szCs w:val="21"/>
              </w:rPr>
              <w:t>1</w:t>
            </w:r>
          </w:p>
        </w:tc>
        <w:tc>
          <w:tcPr>
            <w:tcW w:w="1076" w:type="pct"/>
            <w:vAlign w:val="center"/>
          </w:tcPr>
          <w:p>
            <w:pPr>
              <w:spacing w:line="520" w:lineRule="exact"/>
              <w:rPr>
                <w:rFonts w:ascii="宋体" w:hAnsi="宋体" w:cs="宋体"/>
                <w:sz w:val="21"/>
                <w:szCs w:val="21"/>
              </w:rPr>
            </w:pPr>
            <w:r>
              <w:rPr>
                <w:rFonts w:hint="eastAsia" w:ascii="宋体" w:hAnsi="宋体" w:cs="宋体"/>
                <w:sz w:val="21"/>
                <w:szCs w:val="21"/>
              </w:rPr>
              <w:t>▲免费保修期</w:t>
            </w:r>
          </w:p>
        </w:tc>
        <w:tc>
          <w:tcPr>
            <w:tcW w:w="3434" w:type="pct"/>
          </w:tcPr>
          <w:p>
            <w:pPr>
              <w:pStyle w:val="76"/>
              <w:tabs>
                <w:tab w:val="left" w:pos="851"/>
              </w:tabs>
              <w:spacing w:line="520" w:lineRule="exact"/>
              <w:ind w:firstLine="0" w:firstLineChars="0"/>
              <w:jc w:val="left"/>
              <w:rPr>
                <w:rFonts w:ascii="宋体" w:hAnsi="宋体" w:cs="宋体"/>
                <w:color w:val="000000" w:themeColor="text1"/>
                <w:sz w:val="21"/>
                <w:szCs w:val="21"/>
              </w:rPr>
            </w:pPr>
            <w:r>
              <w:rPr>
                <w:rFonts w:hint="eastAsia" w:ascii="宋体" w:hAnsi="宋体" w:cs="宋体"/>
                <w:color w:val="000000" w:themeColor="text1"/>
                <w:sz w:val="21"/>
                <w:szCs w:val="21"/>
              </w:rPr>
              <w:t>软件产品免费保修期5年及以上，硬件产品免费保修期2年及以上，时间自验收合格并交付使用之日起计算。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90" w:type="pct"/>
            <w:vAlign w:val="center"/>
          </w:tcPr>
          <w:p>
            <w:pPr>
              <w:spacing w:line="520" w:lineRule="exact"/>
              <w:jc w:val="center"/>
              <w:rPr>
                <w:rFonts w:ascii="宋体" w:hAnsi="宋体" w:cs="宋体"/>
                <w:sz w:val="21"/>
                <w:szCs w:val="21"/>
              </w:rPr>
            </w:pPr>
            <w:r>
              <w:rPr>
                <w:rFonts w:hint="eastAsia" w:ascii="宋体" w:hAnsi="宋体" w:cs="宋体"/>
                <w:sz w:val="21"/>
                <w:szCs w:val="21"/>
              </w:rPr>
              <w:t>2</w:t>
            </w:r>
          </w:p>
        </w:tc>
        <w:tc>
          <w:tcPr>
            <w:tcW w:w="1076" w:type="pct"/>
          </w:tcPr>
          <w:p>
            <w:pPr>
              <w:spacing w:line="520" w:lineRule="exact"/>
              <w:rPr>
                <w:rFonts w:ascii="宋体" w:hAnsi="宋体" w:cs="宋体"/>
                <w:sz w:val="21"/>
                <w:szCs w:val="21"/>
              </w:rPr>
            </w:pPr>
            <w:r>
              <w:rPr>
                <w:rFonts w:hint="eastAsia" w:ascii="宋体" w:hAnsi="宋体" w:cs="宋体"/>
                <w:sz w:val="21"/>
                <w:szCs w:val="21"/>
              </w:rPr>
              <w:t>维修响应及故障解决时间</w:t>
            </w:r>
          </w:p>
        </w:tc>
        <w:tc>
          <w:tcPr>
            <w:tcW w:w="3434" w:type="pct"/>
          </w:tcPr>
          <w:p>
            <w:pPr>
              <w:pStyle w:val="76"/>
              <w:tabs>
                <w:tab w:val="left" w:pos="851"/>
              </w:tabs>
              <w:spacing w:line="520" w:lineRule="exact"/>
              <w:ind w:firstLine="0" w:firstLineChars="0"/>
              <w:jc w:val="left"/>
              <w:rPr>
                <w:rFonts w:ascii="宋体" w:hAnsi="宋体" w:cs="宋体"/>
                <w:color w:val="000000" w:themeColor="text1"/>
                <w:sz w:val="21"/>
                <w:szCs w:val="21"/>
              </w:rPr>
            </w:pPr>
            <w:r>
              <w:rPr>
                <w:rFonts w:hint="eastAsia" w:ascii="宋体" w:hAnsi="宋体" w:cs="宋体"/>
                <w:color w:val="000000" w:themeColor="text1"/>
                <w:sz w:val="21"/>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90" w:type="pct"/>
            <w:vAlign w:val="center"/>
          </w:tcPr>
          <w:p>
            <w:pPr>
              <w:spacing w:line="520" w:lineRule="exact"/>
              <w:jc w:val="center"/>
              <w:rPr>
                <w:rFonts w:ascii="宋体" w:hAnsi="宋体" w:cs="宋体"/>
                <w:sz w:val="21"/>
                <w:szCs w:val="21"/>
              </w:rPr>
            </w:pPr>
            <w:r>
              <w:rPr>
                <w:rFonts w:hint="eastAsia" w:ascii="宋体" w:hAnsi="宋体" w:cs="宋体"/>
                <w:sz w:val="21"/>
                <w:szCs w:val="21"/>
              </w:rPr>
              <w:t>3</w:t>
            </w:r>
          </w:p>
        </w:tc>
        <w:tc>
          <w:tcPr>
            <w:tcW w:w="1076" w:type="pct"/>
            <w:vAlign w:val="center"/>
          </w:tcPr>
          <w:p>
            <w:pPr>
              <w:spacing w:line="520" w:lineRule="exact"/>
              <w:jc w:val="left"/>
              <w:rPr>
                <w:rFonts w:ascii="宋体" w:hAnsi="宋体" w:cs="宋体"/>
                <w:sz w:val="21"/>
                <w:szCs w:val="21"/>
              </w:rPr>
            </w:pPr>
            <w:r>
              <w:rPr>
                <w:rFonts w:hint="eastAsia" w:ascii="宋体" w:hAnsi="宋体" w:cs="宋体"/>
                <w:b/>
                <w:kern w:val="0"/>
                <w:sz w:val="21"/>
                <w:szCs w:val="21"/>
              </w:rPr>
              <w:t>★</w:t>
            </w:r>
            <w:r>
              <w:rPr>
                <w:rFonts w:hint="eastAsia" w:ascii="宋体" w:hAnsi="宋体" w:cs="宋体"/>
                <w:sz w:val="21"/>
                <w:szCs w:val="21"/>
              </w:rPr>
              <w:t>关于交货期</w:t>
            </w:r>
          </w:p>
        </w:tc>
        <w:tc>
          <w:tcPr>
            <w:tcW w:w="3434" w:type="pct"/>
          </w:tcPr>
          <w:p>
            <w:pPr>
              <w:pStyle w:val="76"/>
              <w:tabs>
                <w:tab w:val="left" w:pos="851"/>
              </w:tabs>
              <w:spacing w:line="520" w:lineRule="exact"/>
              <w:ind w:firstLine="0" w:firstLineChars="0"/>
              <w:jc w:val="left"/>
              <w:rPr>
                <w:rFonts w:ascii="宋体" w:hAnsi="宋体" w:cs="宋体"/>
                <w:color w:val="000000" w:themeColor="text1"/>
                <w:sz w:val="21"/>
                <w:szCs w:val="21"/>
              </w:rPr>
            </w:pPr>
            <w:r>
              <w:rPr>
                <w:rFonts w:hint="eastAsia" w:ascii="宋体" w:hAnsi="宋体" w:cs="宋体"/>
                <w:color w:val="000000" w:themeColor="text1"/>
                <w:sz w:val="21"/>
                <w:szCs w:val="21"/>
              </w:rPr>
              <w:t>（1）签订合同后 10 天（日历日）内。</w:t>
            </w:r>
          </w:p>
          <w:p>
            <w:pPr>
              <w:pStyle w:val="76"/>
              <w:tabs>
                <w:tab w:val="left" w:pos="851"/>
              </w:tabs>
              <w:spacing w:line="520" w:lineRule="exact"/>
              <w:ind w:firstLine="0" w:firstLineChars="0"/>
              <w:jc w:val="left"/>
              <w:rPr>
                <w:rFonts w:ascii="宋体" w:hAnsi="宋体" w:cs="宋体"/>
                <w:color w:val="000000" w:themeColor="text1"/>
                <w:sz w:val="21"/>
                <w:szCs w:val="21"/>
              </w:rPr>
            </w:pPr>
            <w:r>
              <w:rPr>
                <w:rFonts w:hint="eastAsia" w:ascii="宋体" w:hAnsi="宋体" w:cs="宋体"/>
                <w:color w:val="000000" w:themeColor="text1"/>
                <w:sz w:val="21"/>
                <w:szCs w:val="21"/>
              </w:rPr>
              <w:t>（2）交货地点：重庆财经学院。</w:t>
            </w:r>
          </w:p>
          <w:p>
            <w:pPr>
              <w:pStyle w:val="76"/>
              <w:tabs>
                <w:tab w:val="left" w:pos="851"/>
              </w:tabs>
              <w:spacing w:line="520" w:lineRule="exact"/>
              <w:ind w:firstLine="0" w:firstLineChars="0"/>
              <w:jc w:val="left"/>
              <w:rPr>
                <w:rFonts w:ascii="宋体" w:hAnsi="宋体" w:cs="宋体"/>
                <w:color w:val="000000" w:themeColor="text1"/>
                <w:sz w:val="21"/>
                <w:szCs w:val="21"/>
              </w:rPr>
            </w:pPr>
            <w:r>
              <w:rPr>
                <w:rFonts w:hint="eastAsia" w:ascii="宋体" w:hAnsi="宋体" w:cs="宋体"/>
                <w:color w:val="000000" w:themeColor="text1"/>
                <w:sz w:val="21"/>
                <w:szCs w:val="21"/>
              </w:rPr>
              <w:t>（3）投标人须承担的设备运输、安装调试、验收和提供设备操作说明书等其他应履行的义务。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90" w:type="pct"/>
            <w:vAlign w:val="center"/>
          </w:tcPr>
          <w:p>
            <w:pPr>
              <w:spacing w:line="520" w:lineRule="exact"/>
              <w:jc w:val="center"/>
              <w:rPr>
                <w:rFonts w:ascii="宋体" w:hAnsi="宋体" w:cs="宋体"/>
                <w:sz w:val="21"/>
                <w:szCs w:val="21"/>
              </w:rPr>
            </w:pPr>
            <w:r>
              <w:rPr>
                <w:rFonts w:hint="eastAsia" w:ascii="宋体" w:hAnsi="宋体" w:cs="宋体"/>
                <w:sz w:val="21"/>
                <w:szCs w:val="21"/>
              </w:rPr>
              <w:t>4</w:t>
            </w:r>
          </w:p>
        </w:tc>
        <w:tc>
          <w:tcPr>
            <w:tcW w:w="1076" w:type="pct"/>
            <w:vAlign w:val="center"/>
          </w:tcPr>
          <w:p>
            <w:pPr>
              <w:spacing w:line="520" w:lineRule="exact"/>
              <w:rPr>
                <w:rFonts w:ascii="宋体" w:hAnsi="宋体" w:cs="宋体"/>
                <w:sz w:val="21"/>
                <w:szCs w:val="21"/>
              </w:rPr>
            </w:pPr>
            <w:r>
              <w:rPr>
                <w:rFonts w:hint="eastAsia" w:ascii="宋体" w:hAnsi="宋体" w:cs="宋体"/>
                <w:b/>
                <w:kern w:val="0"/>
                <w:sz w:val="21"/>
                <w:szCs w:val="21"/>
              </w:rPr>
              <w:t>★</w:t>
            </w:r>
            <w:r>
              <w:rPr>
                <w:rFonts w:hint="eastAsia" w:ascii="宋体" w:hAnsi="宋体" w:cs="宋体"/>
                <w:sz w:val="21"/>
                <w:szCs w:val="21"/>
              </w:rPr>
              <w:t>关于验收</w:t>
            </w:r>
          </w:p>
        </w:tc>
        <w:tc>
          <w:tcPr>
            <w:tcW w:w="3434" w:type="pct"/>
          </w:tcPr>
          <w:p>
            <w:pPr>
              <w:pStyle w:val="76"/>
              <w:tabs>
                <w:tab w:val="left" w:pos="851"/>
              </w:tabs>
              <w:spacing w:line="520" w:lineRule="exact"/>
              <w:ind w:firstLine="0" w:firstLineChars="0"/>
              <w:jc w:val="left"/>
              <w:rPr>
                <w:rFonts w:ascii="宋体" w:hAnsi="宋体" w:cs="宋体"/>
                <w:color w:val="000000" w:themeColor="text1"/>
                <w:sz w:val="21"/>
                <w:szCs w:val="21"/>
              </w:rPr>
            </w:pPr>
            <w:r>
              <w:rPr>
                <w:rFonts w:hint="eastAsia" w:ascii="宋体" w:hAnsi="宋体" w:cs="宋体"/>
                <w:color w:val="000000" w:themeColor="text1"/>
                <w:sz w:val="21"/>
                <w:szCs w:val="21"/>
              </w:rPr>
              <w:t>（1）投标人货物经过双方检验合格后，签署验收报告，产品保修期自验收合格之日起算，由投标人提供产品保修文件。</w:t>
            </w:r>
          </w:p>
          <w:p>
            <w:pPr>
              <w:pStyle w:val="76"/>
              <w:tabs>
                <w:tab w:val="left" w:pos="851"/>
              </w:tabs>
              <w:spacing w:line="520" w:lineRule="exact"/>
              <w:ind w:firstLine="0" w:firstLineChars="0"/>
              <w:jc w:val="left"/>
              <w:rPr>
                <w:rFonts w:ascii="宋体" w:hAnsi="宋体" w:cs="宋体"/>
                <w:color w:val="000000" w:themeColor="text1"/>
                <w:sz w:val="21"/>
                <w:szCs w:val="21"/>
              </w:rPr>
            </w:pPr>
            <w:r>
              <w:rPr>
                <w:rFonts w:hint="eastAsia" w:ascii="宋体" w:hAnsi="宋体" w:cs="宋体"/>
                <w:color w:val="000000" w:themeColor="text1"/>
                <w:sz w:val="21"/>
                <w:szCs w:val="21"/>
              </w:rPr>
              <w:t>（2）当满足以下条件时，采购人才向中标人签发货物验收报告：</w:t>
            </w:r>
          </w:p>
          <w:p>
            <w:pPr>
              <w:pStyle w:val="76"/>
              <w:tabs>
                <w:tab w:val="left" w:pos="851"/>
              </w:tabs>
              <w:spacing w:line="520" w:lineRule="exact"/>
              <w:ind w:firstLine="0" w:firstLineChars="0"/>
              <w:jc w:val="left"/>
              <w:rPr>
                <w:rFonts w:ascii="宋体" w:hAnsi="宋体" w:cs="宋体"/>
                <w:color w:val="000000" w:themeColor="text1"/>
                <w:sz w:val="21"/>
                <w:szCs w:val="21"/>
              </w:rPr>
            </w:pPr>
            <w:r>
              <w:rPr>
                <w:rFonts w:hint="eastAsia" w:ascii="宋体" w:hAnsi="宋体" w:cs="宋体"/>
                <w:color w:val="000000" w:themeColor="text1"/>
                <w:sz w:val="21"/>
                <w:szCs w:val="21"/>
              </w:rPr>
              <w:t>中标人已按照合同规定提供了全部产品及完整的技术资料；货物符合招标文件技术规格书的要求，性能满足要求。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90" w:type="pct"/>
            <w:vAlign w:val="center"/>
          </w:tcPr>
          <w:p>
            <w:pPr>
              <w:spacing w:line="520" w:lineRule="exact"/>
              <w:jc w:val="center"/>
              <w:rPr>
                <w:rFonts w:ascii="宋体" w:hAnsi="宋体" w:cs="宋体"/>
                <w:sz w:val="21"/>
                <w:szCs w:val="21"/>
              </w:rPr>
            </w:pPr>
            <w:r>
              <w:rPr>
                <w:rFonts w:hint="eastAsia" w:ascii="宋体" w:hAnsi="宋体" w:cs="宋体"/>
                <w:sz w:val="21"/>
                <w:szCs w:val="21"/>
              </w:rPr>
              <w:t>5</w:t>
            </w:r>
          </w:p>
        </w:tc>
        <w:tc>
          <w:tcPr>
            <w:tcW w:w="1076" w:type="pct"/>
            <w:vAlign w:val="center"/>
          </w:tcPr>
          <w:p>
            <w:pPr>
              <w:spacing w:line="520" w:lineRule="exact"/>
              <w:jc w:val="center"/>
              <w:rPr>
                <w:rFonts w:ascii="宋体" w:hAnsi="宋体" w:cs="宋体"/>
                <w:sz w:val="21"/>
                <w:szCs w:val="21"/>
              </w:rPr>
            </w:pPr>
            <w:r>
              <w:rPr>
                <w:rFonts w:hint="eastAsia" w:ascii="宋体" w:hAnsi="宋体" w:cs="宋体"/>
                <w:sz w:val="21"/>
                <w:szCs w:val="21"/>
                <w:highlight w:val="none"/>
              </w:rPr>
              <w:t>付款方式</w:t>
            </w:r>
          </w:p>
        </w:tc>
        <w:tc>
          <w:tcPr>
            <w:tcW w:w="3434" w:type="pct"/>
            <w:vAlign w:val="center"/>
          </w:tcPr>
          <w:p>
            <w:pPr>
              <w:pStyle w:val="76"/>
              <w:tabs>
                <w:tab w:val="left" w:pos="851"/>
              </w:tabs>
              <w:spacing w:line="520" w:lineRule="exact"/>
              <w:ind w:firstLine="0" w:firstLineChars="0"/>
              <w:jc w:val="left"/>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验收合格后首付全部货款的</w:t>
            </w:r>
            <w:r>
              <w:rPr>
                <w:rFonts w:hint="eastAsia" w:ascii="宋体" w:hAnsi="宋体" w:cs="宋体"/>
                <w:b/>
                <w:bCs/>
                <w:color w:val="000000" w:themeColor="text1"/>
                <w:sz w:val="21"/>
                <w:szCs w:val="21"/>
                <w:u w:val="single"/>
                <w:lang w:val="en-US" w:eastAsia="zh-CN"/>
              </w:rPr>
              <w:t>90</w:t>
            </w:r>
            <w:r>
              <w:rPr>
                <w:rFonts w:hint="eastAsia" w:ascii="宋体" w:hAnsi="宋体" w:cs="宋体"/>
                <w:b/>
                <w:bCs/>
                <w:color w:val="000000" w:themeColor="text1"/>
                <w:sz w:val="21"/>
                <w:szCs w:val="21"/>
              </w:rPr>
              <w:t>%</w:t>
            </w:r>
            <w:r>
              <w:rPr>
                <w:rFonts w:hint="eastAsia" w:ascii="宋体" w:hAnsi="宋体" w:cs="宋体"/>
                <w:color w:val="000000" w:themeColor="text1"/>
                <w:sz w:val="21"/>
                <w:szCs w:val="21"/>
              </w:rPr>
              <w:t>，</w:t>
            </w:r>
            <w:r>
              <w:rPr>
                <w:rFonts w:hint="eastAsia" w:ascii="宋体" w:hAnsi="宋体" w:cs="宋体"/>
                <w:color w:val="000000" w:themeColor="text1"/>
                <w:sz w:val="21"/>
                <w:szCs w:val="21"/>
                <w:lang w:eastAsia="zh-CN"/>
              </w:rPr>
              <w:t>正常运行半年后付款</w:t>
            </w:r>
            <w:r>
              <w:rPr>
                <w:rFonts w:hint="eastAsia" w:ascii="宋体" w:hAnsi="宋体" w:cs="宋体"/>
                <w:b/>
                <w:bCs/>
                <w:color w:val="000000" w:themeColor="text1"/>
                <w:sz w:val="21"/>
                <w:szCs w:val="21"/>
                <w:u w:val="single"/>
                <w:lang w:val="en-US" w:eastAsia="zh-CN"/>
              </w:rPr>
              <w:t>5</w:t>
            </w:r>
            <w:r>
              <w:rPr>
                <w:rFonts w:hint="eastAsia" w:ascii="宋体" w:hAnsi="宋体" w:cs="宋体"/>
                <w:b/>
                <w:bCs/>
                <w:color w:val="000000" w:themeColor="text1"/>
                <w:sz w:val="21"/>
                <w:szCs w:val="21"/>
              </w:rPr>
              <w:t>%</w:t>
            </w:r>
            <w:r>
              <w:rPr>
                <w:rFonts w:hint="eastAsia" w:ascii="宋体" w:hAnsi="宋体" w:cs="宋体"/>
                <w:b/>
                <w:bCs/>
                <w:color w:val="000000" w:themeColor="text1"/>
                <w:sz w:val="21"/>
                <w:szCs w:val="21"/>
                <w:lang w:eastAsia="zh-CN"/>
              </w:rPr>
              <w:t>，</w:t>
            </w:r>
            <w:r>
              <w:rPr>
                <w:rFonts w:hint="eastAsia" w:ascii="宋体" w:hAnsi="宋体" w:cs="宋体"/>
                <w:color w:val="000000" w:themeColor="text1"/>
                <w:sz w:val="21"/>
                <w:szCs w:val="21"/>
                <w:lang w:eastAsia="zh-CN"/>
              </w:rPr>
              <w:t>剩余</w:t>
            </w:r>
            <w:r>
              <w:rPr>
                <w:rFonts w:hint="eastAsia" w:ascii="宋体" w:hAnsi="宋体" w:cs="宋体"/>
                <w:b/>
                <w:bCs/>
                <w:color w:val="000000" w:themeColor="text1"/>
                <w:sz w:val="21"/>
                <w:szCs w:val="21"/>
                <w:u w:val="single"/>
                <w:lang w:val="en-US" w:eastAsia="zh-CN"/>
              </w:rPr>
              <w:t>5</w:t>
            </w:r>
            <w:r>
              <w:rPr>
                <w:rFonts w:hint="eastAsia" w:ascii="宋体" w:hAnsi="宋体" w:cs="宋体"/>
                <w:b/>
                <w:bCs/>
                <w:color w:val="000000" w:themeColor="text1"/>
                <w:sz w:val="21"/>
                <w:szCs w:val="21"/>
              </w:rPr>
              <w:t>%</w:t>
            </w:r>
            <w:r>
              <w:rPr>
                <w:rFonts w:hint="eastAsia" w:ascii="宋体" w:hAnsi="宋体" w:cs="宋体"/>
                <w:color w:val="000000" w:themeColor="text1"/>
                <w:sz w:val="21"/>
                <w:szCs w:val="21"/>
                <w:lang w:eastAsia="zh-CN"/>
              </w:rPr>
              <w:t>作为质保金，于质保期满后无息付清。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90" w:type="pct"/>
            <w:vAlign w:val="center"/>
          </w:tcPr>
          <w:p>
            <w:pPr>
              <w:spacing w:line="520" w:lineRule="exact"/>
              <w:jc w:val="center"/>
              <w:rPr>
                <w:rFonts w:ascii="宋体" w:hAnsi="宋体" w:cs="宋体"/>
                <w:sz w:val="21"/>
                <w:szCs w:val="21"/>
              </w:rPr>
            </w:pPr>
            <w:r>
              <w:rPr>
                <w:rFonts w:hint="eastAsia" w:ascii="宋体" w:hAnsi="宋体" w:cs="宋体"/>
                <w:sz w:val="21"/>
                <w:szCs w:val="21"/>
              </w:rPr>
              <w:t>6</w:t>
            </w:r>
          </w:p>
        </w:tc>
        <w:tc>
          <w:tcPr>
            <w:tcW w:w="1076" w:type="pct"/>
            <w:vAlign w:val="center"/>
          </w:tcPr>
          <w:p>
            <w:pPr>
              <w:spacing w:line="520" w:lineRule="exact"/>
              <w:jc w:val="center"/>
              <w:rPr>
                <w:rFonts w:ascii="宋体" w:hAnsi="宋体" w:cs="宋体"/>
                <w:kern w:val="0"/>
                <w:sz w:val="21"/>
                <w:szCs w:val="21"/>
              </w:rPr>
            </w:pPr>
            <w:r>
              <w:rPr>
                <w:rFonts w:hint="eastAsia" w:ascii="宋体" w:hAnsi="宋体" w:cs="宋体"/>
                <w:color w:val="000000" w:themeColor="text1"/>
                <w:sz w:val="21"/>
                <w:szCs w:val="21"/>
                <w:highlight w:val="none"/>
              </w:rPr>
              <w:t>★报价要求</w:t>
            </w:r>
          </w:p>
        </w:tc>
        <w:tc>
          <w:tcPr>
            <w:tcW w:w="3434" w:type="pct"/>
            <w:vAlign w:val="center"/>
          </w:tcPr>
          <w:p>
            <w:pPr>
              <w:pStyle w:val="76"/>
              <w:tabs>
                <w:tab w:val="left" w:pos="851"/>
              </w:tabs>
              <w:spacing w:line="520" w:lineRule="exact"/>
              <w:ind w:firstLine="0" w:firstLineChars="0"/>
              <w:jc w:val="left"/>
              <w:rPr>
                <w:rFonts w:ascii="宋体" w:hAnsi="宋体" w:cs="宋体"/>
                <w:color w:val="000000" w:themeColor="text1"/>
                <w:sz w:val="21"/>
                <w:szCs w:val="21"/>
              </w:rPr>
            </w:pPr>
            <w:r>
              <w:rPr>
                <w:rFonts w:hint="eastAsia" w:ascii="宋体" w:hAnsi="宋体" w:cs="宋体"/>
                <w:color w:val="000000" w:themeColor="text1"/>
                <w:sz w:val="21"/>
                <w:szCs w:val="21"/>
              </w:rPr>
              <w:t>本项目预算控制总金额及最高限价为人民币</w:t>
            </w:r>
            <w:r>
              <w:rPr>
                <w:rFonts w:hint="eastAsia" w:ascii="宋体" w:hAnsi="宋体" w:cs="宋体"/>
                <w:color w:val="000000" w:themeColor="text1"/>
                <w:sz w:val="21"/>
                <w:szCs w:val="21"/>
                <w:u w:val="single"/>
              </w:rPr>
              <w:t>85</w:t>
            </w:r>
            <w:r>
              <w:rPr>
                <w:rFonts w:hint="eastAsia" w:ascii="宋体" w:hAnsi="宋体" w:cs="宋体"/>
                <w:color w:val="000000" w:themeColor="text1"/>
                <w:sz w:val="21"/>
                <w:szCs w:val="21"/>
              </w:rPr>
              <w:t>万</w:t>
            </w:r>
            <w:r>
              <w:rPr>
                <w:rFonts w:hint="eastAsia" w:ascii="宋体" w:hAnsi="宋体" w:cs="宋体"/>
                <w:b/>
                <w:bCs/>
                <w:color w:val="000000" w:themeColor="text1"/>
                <w:sz w:val="21"/>
                <w:szCs w:val="21"/>
              </w:rPr>
              <w:t>元整（¥</w:t>
            </w:r>
            <w:r>
              <w:rPr>
                <w:rFonts w:hint="eastAsia" w:ascii="宋体" w:hAnsi="宋体" w:cs="宋体"/>
                <w:b/>
                <w:bCs/>
                <w:color w:val="000000" w:themeColor="text1"/>
                <w:sz w:val="21"/>
                <w:szCs w:val="21"/>
                <w:u w:val="single"/>
              </w:rPr>
              <w:t>850000</w:t>
            </w:r>
            <w:r>
              <w:rPr>
                <w:rFonts w:hint="eastAsia" w:ascii="宋体" w:hAnsi="宋体" w:cs="宋体"/>
                <w:b/>
                <w:bCs/>
                <w:color w:val="000000" w:themeColor="text1"/>
                <w:sz w:val="21"/>
                <w:szCs w:val="21"/>
              </w:rPr>
              <w:t>.00）</w:t>
            </w:r>
            <w:r>
              <w:rPr>
                <w:rFonts w:hint="eastAsia" w:ascii="宋体" w:hAnsi="宋体" w:cs="宋体"/>
                <w:color w:val="000000" w:themeColor="text1"/>
                <w:sz w:val="21"/>
                <w:szCs w:val="21"/>
              </w:rPr>
              <w:t>，超出预算控制总金额的投标将导致投标无效。</w:t>
            </w:r>
          </w:p>
        </w:tc>
      </w:tr>
    </w:tbl>
    <w:p>
      <w:pPr>
        <w:pStyle w:val="2"/>
        <w:numPr>
          <w:ilvl w:val="0"/>
          <w:numId w:val="0"/>
        </w:numPr>
        <w:spacing w:before="0" w:after="0" w:line="240" w:lineRule="auto"/>
        <w:rPr>
          <w:rFonts w:ascii="仿宋" w:hAnsi="仿宋" w:eastAsia="仿宋" w:cs="仿宋"/>
        </w:rPr>
      </w:pPr>
      <w:bookmarkStart w:id="281" w:name="_Toc68886995"/>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pStyle w:val="2"/>
        <w:numPr>
          <w:ilvl w:val="0"/>
          <w:numId w:val="11"/>
        </w:numPr>
        <w:spacing w:before="0" w:after="0" w:line="240" w:lineRule="auto"/>
        <w:jc w:val="center"/>
      </w:pPr>
      <w:r>
        <w:rPr>
          <w:rFonts w:hint="eastAsia" w:ascii="仿宋" w:hAnsi="仿宋" w:eastAsia="仿宋" w:cs="仿宋"/>
        </w:rPr>
        <w:t>评标原则</w:t>
      </w:r>
      <w:bookmarkEnd w:id="281"/>
    </w:p>
    <w:p/>
    <w:p>
      <w:pPr>
        <w:spacing w:line="520" w:lineRule="exact"/>
        <w:ind w:firstLine="560" w:firstLineChars="200"/>
        <w:rPr>
          <w:rFonts w:ascii="仿宋" w:hAnsi="仿宋" w:eastAsia="仿宋" w:cs="仿宋"/>
          <w:sz w:val="28"/>
          <w:szCs w:val="28"/>
        </w:rPr>
      </w:pPr>
      <w:r>
        <w:rPr>
          <w:rFonts w:hint="eastAsia" w:ascii="仿宋" w:hAnsi="仿宋" w:eastAsia="仿宋" w:cs="仿宋"/>
          <w:bCs/>
          <w:kern w:val="0"/>
          <w:sz w:val="28"/>
          <w:szCs w:val="28"/>
          <w:lang w:bidi="en-US"/>
        </w:rPr>
        <w:t>本项目采用评分法的原则，其中经济部分30分、技术部分45分，商务部分25分，共计100分。</w:t>
      </w:r>
    </w:p>
    <w:p>
      <w:pPr>
        <w:spacing w:line="280" w:lineRule="exact"/>
        <w:rPr>
          <w:rFonts w:ascii="宋体" w:hAnsi="宋体"/>
        </w:rPr>
      </w:pPr>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89"/>
        <w:gridCol w:w="750"/>
        <w:gridCol w:w="51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88" w:type="dxa"/>
            <w:vAlign w:val="center"/>
          </w:tcPr>
          <w:p>
            <w:pPr>
              <w:pStyle w:val="206"/>
              <w:spacing w:after="120" w:line="520" w:lineRule="exact"/>
              <w:ind w:firstLine="0" w:firstLineChars="0"/>
              <w:jc w:val="center"/>
              <w:rPr>
                <w:rFonts w:ascii="宋体" w:hAnsi="宋体" w:cs="宋体"/>
                <w:spacing w:val="0"/>
                <w:sz w:val="21"/>
                <w:szCs w:val="21"/>
              </w:rPr>
            </w:pPr>
            <w:bookmarkStart w:id="282" w:name="_Toc474419361"/>
            <w:bookmarkStart w:id="283" w:name="_Toc217446059"/>
            <w:r>
              <w:rPr>
                <w:rFonts w:hint="eastAsia" w:ascii="宋体" w:hAnsi="宋体" w:cs="宋体"/>
                <w:spacing w:val="0"/>
                <w:sz w:val="21"/>
                <w:szCs w:val="21"/>
              </w:rPr>
              <w:t>序号</w:t>
            </w:r>
          </w:p>
        </w:tc>
        <w:tc>
          <w:tcPr>
            <w:tcW w:w="1189" w:type="dxa"/>
            <w:vAlign w:val="center"/>
          </w:tcPr>
          <w:p>
            <w:pPr>
              <w:pStyle w:val="206"/>
              <w:spacing w:after="120" w:line="520" w:lineRule="exact"/>
              <w:ind w:firstLine="0" w:firstLineChars="0"/>
              <w:jc w:val="center"/>
              <w:rPr>
                <w:rFonts w:ascii="宋体" w:hAnsi="宋体" w:cs="宋体"/>
                <w:spacing w:val="0"/>
                <w:sz w:val="21"/>
                <w:szCs w:val="21"/>
              </w:rPr>
            </w:pPr>
            <w:r>
              <w:rPr>
                <w:rFonts w:hint="eastAsia" w:ascii="宋体" w:hAnsi="宋体" w:cs="宋体"/>
                <w:spacing w:val="0"/>
                <w:sz w:val="21"/>
                <w:szCs w:val="21"/>
              </w:rPr>
              <w:t>评分因素及权重</w:t>
            </w:r>
          </w:p>
        </w:tc>
        <w:tc>
          <w:tcPr>
            <w:tcW w:w="750" w:type="dxa"/>
            <w:vAlign w:val="center"/>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分值</w:t>
            </w:r>
          </w:p>
        </w:tc>
        <w:tc>
          <w:tcPr>
            <w:tcW w:w="5141" w:type="dxa"/>
            <w:vAlign w:val="center"/>
          </w:tcPr>
          <w:p>
            <w:pPr>
              <w:pStyle w:val="206"/>
              <w:spacing w:after="120" w:line="520" w:lineRule="exact"/>
              <w:ind w:firstLine="0" w:firstLineChars="0"/>
              <w:jc w:val="center"/>
              <w:rPr>
                <w:rFonts w:ascii="宋体" w:hAnsi="宋体" w:cs="宋体"/>
                <w:spacing w:val="0"/>
                <w:sz w:val="21"/>
                <w:szCs w:val="21"/>
              </w:rPr>
            </w:pPr>
            <w:r>
              <w:rPr>
                <w:rFonts w:hint="eastAsia" w:ascii="宋体" w:hAnsi="宋体" w:cs="宋体"/>
                <w:spacing w:val="0"/>
                <w:sz w:val="21"/>
                <w:szCs w:val="21"/>
              </w:rPr>
              <w:t>评分标准</w:t>
            </w:r>
          </w:p>
        </w:tc>
        <w:tc>
          <w:tcPr>
            <w:tcW w:w="1425" w:type="dxa"/>
            <w:vAlign w:val="center"/>
          </w:tcPr>
          <w:p>
            <w:pPr>
              <w:pStyle w:val="206"/>
              <w:spacing w:after="120" w:line="520" w:lineRule="exact"/>
              <w:ind w:firstLine="0" w:firstLineChars="0"/>
              <w:jc w:val="center"/>
              <w:rPr>
                <w:rFonts w:ascii="宋体" w:hAnsi="宋体" w:cs="宋体"/>
                <w:spacing w:val="0"/>
                <w:sz w:val="21"/>
                <w:szCs w:val="21"/>
              </w:rPr>
            </w:pPr>
            <w:r>
              <w:rPr>
                <w:rFonts w:hint="eastAsia" w:ascii="宋体" w:hAnsi="宋体" w:cs="宋体"/>
                <w:spacing w:val="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988" w:type="dxa"/>
            <w:vAlign w:val="center"/>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经济部分30%</w:t>
            </w:r>
          </w:p>
        </w:tc>
        <w:tc>
          <w:tcPr>
            <w:tcW w:w="1189" w:type="dxa"/>
            <w:vAlign w:val="center"/>
          </w:tcPr>
          <w:p>
            <w:pPr>
              <w:pStyle w:val="206"/>
              <w:spacing w:after="120" w:line="520" w:lineRule="exact"/>
              <w:ind w:firstLine="0" w:firstLineChars="0"/>
              <w:jc w:val="center"/>
              <w:rPr>
                <w:rFonts w:ascii="宋体" w:hAnsi="宋体" w:cs="宋体"/>
                <w:spacing w:val="0"/>
                <w:sz w:val="21"/>
                <w:szCs w:val="21"/>
              </w:rPr>
            </w:pPr>
            <w:r>
              <w:rPr>
                <w:rFonts w:hint="eastAsia" w:ascii="宋体" w:hAnsi="宋体" w:cs="宋体"/>
                <w:spacing w:val="0"/>
                <w:sz w:val="21"/>
                <w:szCs w:val="21"/>
              </w:rPr>
              <w:t>投标报价30%</w:t>
            </w:r>
          </w:p>
        </w:tc>
        <w:tc>
          <w:tcPr>
            <w:tcW w:w="750" w:type="dxa"/>
            <w:vAlign w:val="center"/>
          </w:tcPr>
          <w:p>
            <w:pPr>
              <w:pStyle w:val="206"/>
              <w:spacing w:after="120" w:line="520" w:lineRule="exact"/>
              <w:ind w:firstLine="0" w:firstLineChars="0"/>
              <w:rPr>
                <w:rFonts w:ascii="宋体" w:hAnsi="宋体" w:cs="宋体"/>
                <w:sz w:val="21"/>
                <w:szCs w:val="21"/>
              </w:rPr>
            </w:pPr>
            <w:r>
              <w:rPr>
                <w:rFonts w:hint="eastAsia" w:ascii="宋体" w:hAnsi="宋体" w:cs="宋体"/>
                <w:sz w:val="21"/>
                <w:szCs w:val="21"/>
              </w:rPr>
              <w:t>30分</w:t>
            </w:r>
          </w:p>
        </w:tc>
        <w:tc>
          <w:tcPr>
            <w:tcW w:w="5141" w:type="dxa"/>
            <w:vAlign w:val="center"/>
          </w:tcPr>
          <w:p>
            <w:pPr>
              <w:spacing w:line="520" w:lineRule="exact"/>
              <w:jc w:val="left"/>
              <w:rPr>
                <w:rFonts w:ascii="宋体" w:hAnsi="宋体" w:cs="宋体"/>
                <w:snapToGrid w:val="0"/>
                <w:spacing w:val="4"/>
                <w:kern w:val="0"/>
                <w:sz w:val="21"/>
                <w:szCs w:val="21"/>
              </w:rPr>
            </w:pPr>
            <w:r>
              <w:rPr>
                <w:rFonts w:hint="eastAsia" w:ascii="宋体" w:hAnsi="宋体" w:cs="宋体"/>
                <w:snapToGrid w:val="0"/>
                <w:spacing w:val="4"/>
                <w:kern w:val="0"/>
                <w:sz w:val="21"/>
                <w:szCs w:val="21"/>
              </w:rPr>
              <w:t>有效的投标报价中的最低价为评标基准价，按照下列公式计算每个投标人的投标价格得分。</w:t>
            </w:r>
          </w:p>
          <w:p>
            <w:pPr>
              <w:pStyle w:val="206"/>
              <w:spacing w:after="120" w:line="520" w:lineRule="exact"/>
              <w:ind w:firstLine="0" w:firstLineChars="0"/>
              <w:rPr>
                <w:rFonts w:ascii="宋体" w:hAnsi="宋体" w:cs="宋体"/>
                <w:spacing w:val="0"/>
                <w:sz w:val="21"/>
                <w:szCs w:val="21"/>
              </w:rPr>
            </w:pPr>
            <w:r>
              <w:rPr>
                <w:rFonts w:hint="eastAsia" w:ascii="宋体" w:hAnsi="宋体" w:cs="宋体"/>
                <w:sz w:val="21"/>
                <w:szCs w:val="21"/>
              </w:rPr>
              <w:t>投标报价得分＝（评标基准价/投标报价）×价格权重×100%</w:t>
            </w:r>
          </w:p>
        </w:tc>
        <w:tc>
          <w:tcPr>
            <w:tcW w:w="1425" w:type="dxa"/>
          </w:tcPr>
          <w:p>
            <w:pPr>
              <w:pStyle w:val="206"/>
              <w:spacing w:after="120" w:line="520" w:lineRule="exact"/>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88" w:type="dxa"/>
            <w:vMerge w:val="restart"/>
            <w:vAlign w:val="center"/>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技术部分45%</w:t>
            </w:r>
          </w:p>
        </w:tc>
        <w:tc>
          <w:tcPr>
            <w:tcW w:w="1189" w:type="dxa"/>
            <w:vMerge w:val="restart"/>
            <w:vAlign w:val="center"/>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技术指标响应45%</w:t>
            </w:r>
          </w:p>
        </w:tc>
        <w:tc>
          <w:tcPr>
            <w:tcW w:w="5891" w:type="dxa"/>
            <w:gridSpan w:val="2"/>
            <w:vAlign w:val="center"/>
          </w:tcPr>
          <w:p>
            <w:pPr>
              <w:pStyle w:val="206"/>
              <w:spacing w:after="120" w:line="520" w:lineRule="exact"/>
              <w:ind w:firstLine="0" w:firstLineChars="0"/>
              <w:rPr>
                <w:rFonts w:ascii="宋体" w:hAnsi="宋体" w:cs="宋体"/>
                <w:sz w:val="21"/>
                <w:szCs w:val="21"/>
              </w:rPr>
            </w:pPr>
            <w:r>
              <w:rPr>
                <w:rFonts w:hint="eastAsia" w:ascii="宋体" w:hAnsi="宋体" w:cs="宋体"/>
                <w:sz w:val="21"/>
                <w:szCs w:val="21"/>
              </w:rPr>
              <w:t>技术部分得分为零的投标人将失去中标候选人资格</w:t>
            </w:r>
          </w:p>
        </w:tc>
        <w:tc>
          <w:tcPr>
            <w:tcW w:w="1425" w:type="dxa"/>
          </w:tcPr>
          <w:p>
            <w:pPr>
              <w:pStyle w:val="206"/>
              <w:spacing w:after="120" w:line="520" w:lineRule="exact"/>
              <w:ind w:firstLine="0" w:firstLineChars="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988" w:type="dxa"/>
            <w:vMerge w:val="continue"/>
            <w:vAlign w:val="center"/>
          </w:tcPr>
          <w:p>
            <w:pPr>
              <w:pStyle w:val="206"/>
              <w:spacing w:after="120" w:line="520" w:lineRule="exact"/>
              <w:ind w:firstLine="174" w:firstLineChars="83"/>
              <w:rPr>
                <w:rFonts w:ascii="宋体" w:hAnsi="宋体" w:cs="宋体"/>
                <w:spacing w:val="0"/>
                <w:sz w:val="21"/>
                <w:szCs w:val="21"/>
              </w:rPr>
            </w:pPr>
          </w:p>
        </w:tc>
        <w:tc>
          <w:tcPr>
            <w:tcW w:w="1189" w:type="dxa"/>
            <w:vMerge w:val="continue"/>
            <w:vAlign w:val="center"/>
          </w:tcPr>
          <w:p>
            <w:pPr>
              <w:pStyle w:val="206"/>
              <w:spacing w:after="120" w:line="520" w:lineRule="exact"/>
              <w:ind w:firstLine="0" w:firstLineChars="0"/>
              <w:jc w:val="center"/>
              <w:rPr>
                <w:rFonts w:ascii="宋体" w:hAnsi="宋体" w:cs="宋体"/>
                <w:spacing w:val="0"/>
                <w:sz w:val="21"/>
                <w:szCs w:val="21"/>
              </w:rPr>
            </w:pPr>
          </w:p>
        </w:tc>
        <w:tc>
          <w:tcPr>
            <w:tcW w:w="750" w:type="dxa"/>
            <w:vAlign w:val="center"/>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45分</w:t>
            </w:r>
          </w:p>
        </w:tc>
        <w:tc>
          <w:tcPr>
            <w:tcW w:w="5141" w:type="dxa"/>
            <w:vAlign w:val="center"/>
          </w:tcPr>
          <w:p>
            <w:pPr>
              <w:spacing w:line="520" w:lineRule="exact"/>
              <w:jc w:val="left"/>
              <w:rPr>
                <w:rFonts w:ascii="宋体" w:hAnsi="宋体" w:cs="宋体"/>
                <w:snapToGrid w:val="0"/>
                <w:spacing w:val="4"/>
                <w:kern w:val="0"/>
                <w:sz w:val="21"/>
                <w:szCs w:val="21"/>
              </w:rPr>
            </w:pPr>
            <w:r>
              <w:rPr>
                <w:rFonts w:hint="eastAsia" w:ascii="宋体" w:hAnsi="宋体" w:cs="宋体"/>
                <w:sz w:val="21"/>
                <w:szCs w:val="21"/>
              </w:rPr>
              <w:t>参数中标注“★”的条款为实质性要求，必须满足，不允许出现负偏离，有一条不满足的，技术部分得分</w:t>
            </w:r>
            <w:r>
              <w:rPr>
                <w:rFonts w:hint="eastAsia" w:ascii="宋体" w:hAnsi="宋体" w:cs="宋体"/>
                <w:snapToGrid w:val="0"/>
                <w:spacing w:val="4"/>
                <w:kern w:val="0"/>
                <w:sz w:val="21"/>
                <w:szCs w:val="21"/>
              </w:rPr>
              <w:t>为0分，请投标人仔细阅读。</w:t>
            </w:r>
          </w:p>
          <w:p>
            <w:pPr>
              <w:spacing w:line="520" w:lineRule="exact"/>
              <w:jc w:val="left"/>
              <w:rPr>
                <w:rFonts w:ascii="宋体" w:hAnsi="宋体" w:cs="宋体"/>
                <w:snapToGrid w:val="0"/>
                <w:spacing w:val="4"/>
                <w:kern w:val="0"/>
                <w:sz w:val="21"/>
                <w:szCs w:val="21"/>
              </w:rPr>
            </w:pPr>
            <w:r>
              <w:rPr>
                <w:rFonts w:hint="eastAsia" w:ascii="宋体" w:hAnsi="宋体" w:cs="宋体"/>
                <w:snapToGrid w:val="0"/>
                <w:spacing w:val="4"/>
                <w:kern w:val="0"/>
                <w:sz w:val="21"/>
                <w:szCs w:val="21"/>
              </w:rPr>
              <w:t>参数中</w:t>
            </w:r>
            <w:r>
              <w:rPr>
                <w:rFonts w:hint="eastAsia" w:ascii="宋体" w:hAnsi="宋体" w:cs="宋体"/>
                <w:snapToGrid w:val="0"/>
                <w:color w:val="000000" w:themeColor="text1"/>
                <w:spacing w:val="4"/>
                <w:kern w:val="0"/>
                <w:sz w:val="21"/>
                <w:szCs w:val="21"/>
              </w:rPr>
              <w:t>标注“</w:t>
            </w:r>
            <w:r>
              <w:rPr>
                <w:rFonts w:hint="eastAsia" w:ascii="宋体" w:hAnsi="宋体" w:cs="宋体"/>
                <w:color w:val="000000" w:themeColor="text1"/>
                <w:sz w:val="21"/>
                <w:szCs w:val="21"/>
              </w:rPr>
              <w:t>▲</w:t>
            </w:r>
            <w:r>
              <w:rPr>
                <w:rFonts w:hint="eastAsia" w:ascii="宋体" w:hAnsi="宋体" w:cs="宋体"/>
                <w:snapToGrid w:val="0"/>
                <w:color w:val="000000" w:themeColor="text1"/>
                <w:spacing w:val="4"/>
                <w:kern w:val="0"/>
                <w:sz w:val="21"/>
                <w:szCs w:val="21"/>
              </w:rPr>
              <w:t>”的</w:t>
            </w:r>
            <w:r>
              <w:rPr>
                <w:rFonts w:hint="eastAsia" w:ascii="宋体" w:hAnsi="宋体" w:cs="宋体"/>
                <w:snapToGrid w:val="0"/>
                <w:spacing w:val="4"/>
                <w:kern w:val="0"/>
                <w:sz w:val="21"/>
                <w:szCs w:val="21"/>
              </w:rPr>
              <w:t>条款为重要参数，必须提供相关证明材料，否则作为负偏离处理，每有一项负偏离扣5分，扣完为止。</w:t>
            </w:r>
          </w:p>
          <w:p>
            <w:pPr>
              <w:spacing w:line="520" w:lineRule="exact"/>
              <w:jc w:val="left"/>
              <w:rPr>
                <w:rFonts w:ascii="宋体" w:hAnsi="宋体" w:cs="宋体"/>
                <w:sz w:val="21"/>
                <w:szCs w:val="21"/>
              </w:rPr>
            </w:pPr>
            <w:r>
              <w:rPr>
                <w:rFonts w:hint="eastAsia" w:ascii="宋体" w:hAnsi="宋体" w:cs="宋体"/>
                <w:snapToGrid w:val="0"/>
                <w:spacing w:val="4"/>
                <w:kern w:val="0"/>
                <w:sz w:val="21"/>
                <w:szCs w:val="21"/>
              </w:rPr>
              <w:t>未标注符号的条款为普通参数，每有一项负偏离扣2分，扣完为止。</w:t>
            </w:r>
          </w:p>
        </w:tc>
        <w:tc>
          <w:tcPr>
            <w:tcW w:w="1425" w:type="dxa"/>
          </w:tcPr>
          <w:p>
            <w:pPr>
              <w:pStyle w:val="206"/>
              <w:spacing w:after="120" w:line="520" w:lineRule="exact"/>
              <w:ind w:firstLine="0" w:firstLineChars="0"/>
              <w:rPr>
                <w:rFonts w:ascii="宋体" w:hAnsi="宋体" w:cs="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88" w:type="dxa"/>
            <w:vMerge w:val="restart"/>
            <w:vAlign w:val="center"/>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商务部分25%</w:t>
            </w:r>
          </w:p>
          <w:p>
            <w:pPr>
              <w:pStyle w:val="206"/>
              <w:spacing w:after="120" w:line="520" w:lineRule="exact"/>
              <w:ind w:firstLine="174" w:firstLineChars="83"/>
              <w:jc w:val="center"/>
              <w:rPr>
                <w:rFonts w:ascii="宋体" w:hAnsi="宋体" w:cs="宋体"/>
                <w:spacing w:val="0"/>
                <w:sz w:val="21"/>
                <w:szCs w:val="21"/>
              </w:rPr>
            </w:pPr>
          </w:p>
        </w:tc>
        <w:tc>
          <w:tcPr>
            <w:tcW w:w="1189" w:type="dxa"/>
            <w:vAlign w:val="center"/>
          </w:tcPr>
          <w:p>
            <w:pPr>
              <w:pStyle w:val="206"/>
              <w:spacing w:after="120" w:line="520" w:lineRule="exact"/>
              <w:ind w:firstLine="0" w:firstLineChars="0"/>
              <w:jc w:val="center"/>
              <w:rPr>
                <w:rFonts w:ascii="宋体" w:hAnsi="宋体" w:cs="宋体"/>
                <w:spacing w:val="0"/>
                <w:sz w:val="21"/>
                <w:szCs w:val="21"/>
              </w:rPr>
            </w:pPr>
            <w:r>
              <w:rPr>
                <w:rFonts w:hint="eastAsia" w:ascii="宋体" w:hAnsi="宋体" w:cs="宋体"/>
                <w:spacing w:val="0"/>
                <w:sz w:val="21"/>
                <w:szCs w:val="21"/>
              </w:rPr>
              <w:t>履约能力5%</w:t>
            </w:r>
          </w:p>
        </w:tc>
        <w:tc>
          <w:tcPr>
            <w:tcW w:w="750" w:type="dxa"/>
            <w:vAlign w:val="center"/>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5分</w:t>
            </w:r>
          </w:p>
        </w:tc>
        <w:tc>
          <w:tcPr>
            <w:tcW w:w="5141" w:type="dxa"/>
            <w:vAlign w:val="center"/>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提供原厂2018年1月1日至今类似项目履约能力证明材料，每提供一个得1分，最多得5分（须提供项目中标通知书、项目合同复印件）。</w:t>
            </w:r>
          </w:p>
        </w:tc>
        <w:tc>
          <w:tcPr>
            <w:tcW w:w="1425" w:type="dxa"/>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提供证明材料复印件并加盖原厂鲜章。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8" w:type="dxa"/>
            <w:vMerge w:val="continue"/>
            <w:vAlign w:val="center"/>
          </w:tcPr>
          <w:p>
            <w:pPr>
              <w:pStyle w:val="206"/>
              <w:spacing w:after="120" w:line="520" w:lineRule="exact"/>
              <w:ind w:firstLine="174" w:firstLineChars="83"/>
              <w:rPr>
                <w:rFonts w:ascii="宋体" w:hAnsi="宋体" w:cs="宋体"/>
                <w:spacing w:val="0"/>
                <w:sz w:val="21"/>
                <w:szCs w:val="21"/>
              </w:rPr>
            </w:pPr>
          </w:p>
        </w:tc>
        <w:tc>
          <w:tcPr>
            <w:tcW w:w="1189" w:type="dxa"/>
            <w:vAlign w:val="center"/>
          </w:tcPr>
          <w:p>
            <w:pPr>
              <w:pStyle w:val="206"/>
              <w:spacing w:after="120" w:line="520" w:lineRule="exact"/>
              <w:ind w:firstLine="0" w:firstLineChars="0"/>
              <w:jc w:val="center"/>
              <w:rPr>
                <w:rFonts w:ascii="宋体" w:hAnsi="宋体" w:cs="宋体"/>
                <w:spacing w:val="0"/>
                <w:sz w:val="21"/>
                <w:szCs w:val="21"/>
              </w:rPr>
            </w:pPr>
            <w:r>
              <w:rPr>
                <w:rFonts w:hint="eastAsia" w:ascii="宋体" w:hAnsi="宋体" w:cs="宋体"/>
                <w:spacing w:val="0"/>
                <w:sz w:val="21"/>
                <w:szCs w:val="21"/>
              </w:rPr>
              <w:t>专业建设经验（企业实力）10%</w:t>
            </w:r>
          </w:p>
        </w:tc>
        <w:tc>
          <w:tcPr>
            <w:tcW w:w="750" w:type="dxa"/>
            <w:vAlign w:val="center"/>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10分</w:t>
            </w:r>
          </w:p>
        </w:tc>
        <w:tc>
          <w:tcPr>
            <w:tcW w:w="5141" w:type="dxa"/>
            <w:vAlign w:val="center"/>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本项目要求投标人有参与教育部金融科技专业虚拟教研室建设经验，提供相关证明材料得10分，未提供不得分。</w:t>
            </w:r>
          </w:p>
        </w:tc>
        <w:tc>
          <w:tcPr>
            <w:tcW w:w="1425" w:type="dxa"/>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提供证明材料复印件并加盖原厂鲜章。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988" w:type="dxa"/>
            <w:vMerge w:val="continue"/>
            <w:vAlign w:val="center"/>
          </w:tcPr>
          <w:p>
            <w:pPr>
              <w:pStyle w:val="206"/>
              <w:spacing w:after="120" w:line="520" w:lineRule="exact"/>
              <w:ind w:firstLine="174" w:firstLineChars="83"/>
              <w:rPr>
                <w:rFonts w:ascii="宋体" w:hAnsi="宋体" w:cs="宋体"/>
                <w:spacing w:val="0"/>
                <w:sz w:val="21"/>
                <w:szCs w:val="21"/>
              </w:rPr>
            </w:pPr>
          </w:p>
        </w:tc>
        <w:tc>
          <w:tcPr>
            <w:tcW w:w="1189" w:type="dxa"/>
            <w:vAlign w:val="center"/>
          </w:tcPr>
          <w:p>
            <w:pPr>
              <w:pStyle w:val="206"/>
              <w:spacing w:after="120" w:line="520" w:lineRule="exact"/>
              <w:ind w:firstLine="0" w:firstLineChars="0"/>
              <w:jc w:val="center"/>
              <w:rPr>
                <w:rFonts w:ascii="宋体" w:hAnsi="宋体" w:cs="宋体"/>
                <w:spacing w:val="0"/>
                <w:sz w:val="21"/>
                <w:szCs w:val="21"/>
              </w:rPr>
            </w:pPr>
            <w:r>
              <w:rPr>
                <w:rFonts w:hint="eastAsia" w:ascii="宋体" w:hAnsi="宋体" w:cs="宋体"/>
                <w:spacing w:val="0"/>
                <w:sz w:val="21"/>
                <w:szCs w:val="21"/>
              </w:rPr>
              <w:t>培训方案5%</w:t>
            </w:r>
          </w:p>
        </w:tc>
        <w:tc>
          <w:tcPr>
            <w:tcW w:w="750" w:type="dxa"/>
            <w:vAlign w:val="center"/>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5分</w:t>
            </w:r>
          </w:p>
        </w:tc>
        <w:tc>
          <w:tcPr>
            <w:tcW w:w="5141" w:type="dxa"/>
            <w:vAlign w:val="center"/>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根据投标人开展师资培训方面的情况和经验，为用户对象制定用户培训方案综合评定：0-5分</w:t>
            </w:r>
          </w:p>
        </w:tc>
        <w:tc>
          <w:tcPr>
            <w:tcW w:w="1425" w:type="dxa"/>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提供开展师资培训的证明材料加盖原厂鲜章。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988" w:type="dxa"/>
            <w:vMerge w:val="continue"/>
            <w:vAlign w:val="center"/>
          </w:tcPr>
          <w:p>
            <w:pPr>
              <w:pStyle w:val="206"/>
              <w:spacing w:after="120" w:line="520" w:lineRule="exact"/>
              <w:ind w:firstLine="174" w:firstLineChars="83"/>
              <w:rPr>
                <w:rFonts w:ascii="宋体" w:hAnsi="宋体" w:cs="宋体"/>
                <w:spacing w:val="0"/>
                <w:sz w:val="21"/>
                <w:szCs w:val="21"/>
              </w:rPr>
            </w:pPr>
          </w:p>
        </w:tc>
        <w:tc>
          <w:tcPr>
            <w:tcW w:w="1189" w:type="dxa"/>
            <w:vAlign w:val="center"/>
          </w:tcPr>
          <w:p>
            <w:pPr>
              <w:pStyle w:val="206"/>
              <w:spacing w:after="120" w:line="520" w:lineRule="exact"/>
              <w:ind w:firstLine="0" w:firstLineChars="0"/>
              <w:jc w:val="center"/>
              <w:rPr>
                <w:rFonts w:ascii="宋体" w:hAnsi="宋体" w:cs="宋体"/>
                <w:spacing w:val="0"/>
                <w:sz w:val="21"/>
                <w:szCs w:val="21"/>
              </w:rPr>
            </w:pPr>
            <w:r>
              <w:rPr>
                <w:rFonts w:hint="eastAsia" w:ascii="宋体" w:hAnsi="宋体" w:cs="宋体"/>
                <w:spacing w:val="0"/>
                <w:sz w:val="21"/>
                <w:szCs w:val="21"/>
              </w:rPr>
              <w:t>中小微企业5%</w:t>
            </w:r>
          </w:p>
        </w:tc>
        <w:tc>
          <w:tcPr>
            <w:tcW w:w="750" w:type="dxa"/>
            <w:vAlign w:val="center"/>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5分</w:t>
            </w:r>
          </w:p>
        </w:tc>
        <w:tc>
          <w:tcPr>
            <w:tcW w:w="5141" w:type="dxa"/>
            <w:vAlign w:val="center"/>
          </w:tcPr>
          <w:p>
            <w:pPr>
              <w:pStyle w:val="206"/>
              <w:spacing w:after="120" w:line="520" w:lineRule="exact"/>
              <w:ind w:firstLine="0" w:firstLineChars="0"/>
              <w:rPr>
                <w:rFonts w:ascii="宋体" w:hAnsi="宋体" w:cs="宋体"/>
                <w:spacing w:val="0"/>
                <w:sz w:val="21"/>
                <w:szCs w:val="21"/>
              </w:rPr>
            </w:pPr>
            <w:r>
              <w:rPr>
                <w:rFonts w:hint="eastAsia" w:ascii="宋体" w:hAnsi="宋体" w:cs="宋体"/>
                <w:spacing w:val="0"/>
                <w:sz w:val="21"/>
                <w:szCs w:val="21"/>
              </w:rPr>
              <w:t>落实政府采购政策需满足的资格要求：本项目属于专门面向中小微企业采购的项目。</w:t>
            </w:r>
          </w:p>
        </w:tc>
        <w:tc>
          <w:tcPr>
            <w:tcW w:w="1425" w:type="dxa"/>
          </w:tcPr>
          <w:p>
            <w:pPr>
              <w:pStyle w:val="206"/>
              <w:spacing w:after="120" w:line="520" w:lineRule="exact"/>
              <w:ind w:firstLine="0" w:firstLineChars="0"/>
              <w:rPr>
                <w:rFonts w:ascii="宋体" w:hAnsi="宋体" w:cs="宋体"/>
                <w:spacing w:val="0"/>
                <w:sz w:val="21"/>
                <w:szCs w:val="21"/>
              </w:rPr>
            </w:pPr>
          </w:p>
        </w:tc>
      </w:tr>
      <w:bookmarkEnd w:id="282"/>
      <w:bookmarkEnd w:id="283"/>
    </w:tbl>
    <w:p>
      <w:pPr>
        <w:spacing w:line="520" w:lineRule="exact"/>
        <w:rPr>
          <w:rFonts w:ascii="宋体" w:hAnsi="宋体" w:cs="宋体"/>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ind w:left="420"/>
        <w:rPr>
          <w:rFonts w:asciiTheme="minorEastAsia" w:hAnsiTheme="minorEastAsia" w:eastAsiaTheme="minorEastAsia"/>
        </w:rPr>
      </w:pPr>
    </w:p>
    <w:p>
      <w:pPr>
        <w:pStyle w:val="113"/>
        <w:ind w:firstLine="0"/>
        <w:rPr>
          <w:rFonts w:asciiTheme="minorEastAsia" w:hAnsiTheme="minorEastAsia" w:eastAsiaTheme="minorEastAsia" w:cstheme="minorBidi"/>
          <w:szCs w:val="22"/>
        </w:rPr>
      </w:pPr>
    </w:p>
    <w:p>
      <w:pPr>
        <w:pStyle w:val="113"/>
        <w:ind w:firstLine="0"/>
        <w:rPr>
          <w:rFonts w:asciiTheme="minorEastAsia" w:hAnsiTheme="minorEastAsia" w:eastAsiaTheme="minorEastAsia" w:cstheme="minorBidi"/>
          <w:szCs w:val="22"/>
        </w:rPr>
      </w:pPr>
    </w:p>
    <w:bookmarkEnd w:id="2"/>
    <w:bookmarkEnd w:id="3"/>
    <w:bookmarkEnd w:id="16"/>
    <w:p>
      <w:pPr>
        <w:widowControl/>
        <w:jc w:val="left"/>
        <w:rPr>
          <w:rStyle w:val="203"/>
          <w:rFonts w:ascii="宋体" w:hAnsi="宋体" w:cs="宋体"/>
          <w:color w:val="000000"/>
          <w:sz w:val="20"/>
          <w:szCs w:val="20"/>
        </w:rPr>
      </w:pPr>
      <w:bookmarkStart w:id="284" w:name="_Toc484637075"/>
      <w:bookmarkStart w:id="285" w:name="_Toc481694470"/>
      <w:bookmarkStart w:id="286" w:name="_Toc454373092"/>
    </w:p>
    <w:p>
      <w:pPr>
        <w:widowControl/>
        <w:jc w:val="left"/>
        <w:rPr>
          <w:rStyle w:val="203"/>
          <w:rFonts w:ascii="宋体" w:hAnsi="宋体" w:cs="宋体"/>
          <w:color w:val="000000"/>
          <w:sz w:val="20"/>
          <w:szCs w:val="20"/>
        </w:rPr>
      </w:pPr>
    </w:p>
    <w:p>
      <w:pPr>
        <w:widowControl/>
        <w:spacing w:line="360" w:lineRule="atLeast"/>
        <w:jc w:val="left"/>
        <w:rPr>
          <w:rFonts w:asciiTheme="minorEastAsia" w:hAnsiTheme="minorEastAsia" w:eastAsiaTheme="minorEastAsia"/>
          <w:bCs/>
        </w:rPr>
      </w:pPr>
    </w:p>
    <w:p>
      <w:pPr>
        <w:spacing w:line="500" w:lineRule="exact"/>
        <w:ind w:left="480" w:leftChars="200" w:firstLine="496" w:firstLineChars="207"/>
        <w:rPr>
          <w:rFonts w:ascii="宋体" w:hAnsi="宋体"/>
        </w:rPr>
      </w:pPr>
    </w:p>
    <w:p>
      <w:pPr>
        <w:spacing w:line="500" w:lineRule="exact"/>
        <w:ind w:left="480" w:leftChars="200" w:firstLine="496" w:firstLineChars="207"/>
        <w:rPr>
          <w:rFonts w:ascii="宋体" w:hAnsi="宋体"/>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rPr>
          <w:rFonts w:ascii="宋体" w:hAnsi="宋体" w:cs="Courier New"/>
          <w:szCs w:val="24"/>
        </w:rPr>
      </w:pPr>
    </w:p>
    <w:bookmarkEnd w:id="284"/>
    <w:bookmarkEnd w:id="285"/>
    <w:bookmarkEnd w:id="286"/>
    <w:p>
      <w:pPr>
        <w:pStyle w:val="2"/>
        <w:numPr>
          <w:ilvl w:val="0"/>
          <w:numId w:val="0"/>
        </w:numPr>
        <w:jc w:val="center"/>
        <w:rPr>
          <w:rFonts w:ascii="仿宋" w:hAnsi="仿宋" w:eastAsia="仿宋" w:cs="仿宋"/>
        </w:rPr>
      </w:pPr>
      <w:bookmarkStart w:id="287" w:name="_Toc481694471"/>
      <w:bookmarkStart w:id="288" w:name="_Toc484637076"/>
      <w:bookmarkStart w:id="289" w:name="_Toc454373093"/>
      <w:bookmarkStart w:id="290" w:name="_Toc531594799"/>
      <w:r>
        <w:rPr>
          <w:rFonts w:hint="eastAsia" w:ascii="仿宋" w:hAnsi="仿宋" w:eastAsia="仿宋" w:cs="仿宋"/>
        </w:rPr>
        <w:t>第五章 投标文件格式</w:t>
      </w:r>
      <w:bookmarkEnd w:id="287"/>
      <w:bookmarkEnd w:id="288"/>
      <w:bookmarkEnd w:id="289"/>
      <w:bookmarkEnd w:id="290"/>
    </w:p>
    <w:p>
      <w:pPr>
        <w:spacing w:line="520" w:lineRule="exact"/>
        <w:rPr>
          <w:rFonts w:ascii="仿宋" w:hAnsi="仿宋" w:eastAsia="仿宋" w:cs="仿宋"/>
          <w:b/>
          <w:sz w:val="28"/>
          <w:szCs w:val="28"/>
        </w:rPr>
      </w:pPr>
      <w:bookmarkStart w:id="291" w:name="_Toc217446082"/>
      <w:bookmarkStart w:id="292" w:name="_Toc425408086"/>
      <w:r>
        <w:rPr>
          <w:rFonts w:hint="eastAsia" w:ascii="仿宋" w:hAnsi="仿宋" w:eastAsia="仿宋" w:cs="仿宋"/>
          <w:b/>
          <w:sz w:val="28"/>
          <w:szCs w:val="28"/>
        </w:rPr>
        <w:t>一、投 标 函</w:t>
      </w:r>
      <w:bookmarkEnd w:id="291"/>
      <w:bookmarkEnd w:id="292"/>
    </w:p>
    <w:p>
      <w:pPr>
        <w:spacing w:line="520" w:lineRule="exact"/>
        <w:ind w:firstLine="280" w:firstLineChars="10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我方全面研究了“  ”项目招标文件（  ），决定参加贵单位组织的本项目投标。我方授权（姓名、职务）代表我方（投标单位的名称）全权处理本项目投标的有关事宜。</w:t>
      </w:r>
    </w:p>
    <w:p>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1.我方自愿按照招标文件规定的各项要求向采购人提供所需货物/服务，总投标价为人民币    万元（大写：）。</w:t>
      </w:r>
    </w:p>
    <w:p>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2.一旦我方中标，我方将严格履行合同规定的责任和义务，保证于合同签字生效后日内完成项目的安装、调试，并交付采购人验收、使用。</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3.我方为本项目提交的投标文件正本</w:t>
      </w:r>
      <w:r>
        <w:rPr>
          <w:rFonts w:hint="eastAsia" w:ascii="仿宋" w:hAnsi="仿宋" w:eastAsia="仿宋" w:cs="仿宋"/>
          <w:sz w:val="28"/>
          <w:szCs w:val="28"/>
          <w:u w:val="single"/>
        </w:rPr>
        <w:t xml:space="preserve">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w:t>
      </w:r>
      <w:r>
        <w:rPr>
          <w:rFonts w:hint="eastAsia" w:ascii="仿宋" w:hAnsi="仿宋" w:eastAsia="仿宋" w:cs="仿宋"/>
          <w:sz w:val="28"/>
          <w:szCs w:val="28"/>
        </w:rPr>
        <w:t>份，用于开标唱标的“开标一览</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p>
    <w:p>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4.我方愿意提供贵中心可能另外要求的，与投标有关的文件资料，并保证我方已提供和将要提供的文件资料是真实、准确的。</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5.我方完全理解采购人不一定将合同授予最低报价的投标人的行为。</w:t>
      </w:r>
    </w:p>
    <w:p>
      <w:pPr>
        <w:spacing w:line="520" w:lineRule="exact"/>
        <w:ind w:firstLine="537" w:firstLineChars="192"/>
        <w:rPr>
          <w:rFonts w:ascii="仿宋" w:hAnsi="仿宋" w:eastAsia="仿宋" w:cs="仿宋"/>
          <w:sz w:val="28"/>
          <w:szCs w:val="28"/>
        </w:rPr>
      </w:pPr>
    </w:p>
    <w:p>
      <w:pPr>
        <w:spacing w:line="520" w:lineRule="exact"/>
        <w:ind w:firstLine="537" w:firstLineChars="192"/>
        <w:rPr>
          <w:rFonts w:ascii="仿宋" w:hAnsi="仿宋" w:eastAsia="仿宋" w:cs="仿宋"/>
          <w:sz w:val="28"/>
          <w:szCs w:val="28"/>
        </w:rPr>
      </w:pPr>
    </w:p>
    <w:p>
      <w:pPr>
        <w:spacing w:line="520" w:lineRule="exact"/>
        <w:ind w:firstLine="537" w:firstLineChars="192"/>
        <w:rPr>
          <w:rFonts w:ascii="仿宋" w:hAnsi="仿宋" w:eastAsia="仿宋" w:cs="仿宋"/>
          <w:sz w:val="28"/>
          <w:szCs w:val="28"/>
        </w:rPr>
      </w:pPr>
    </w:p>
    <w:p>
      <w:pPr>
        <w:spacing w:line="520" w:lineRule="exact"/>
        <w:rPr>
          <w:rFonts w:ascii="仿宋" w:hAnsi="仿宋" w:eastAsia="仿宋" w:cs="仿宋"/>
          <w:sz w:val="28"/>
          <w:szCs w:val="28"/>
        </w:rPr>
      </w:pPr>
    </w:p>
    <w:p>
      <w:pPr>
        <w:spacing w:line="520" w:lineRule="exact"/>
        <w:ind w:firstLine="537" w:firstLineChars="192"/>
        <w:rPr>
          <w:rFonts w:ascii="仿宋" w:hAnsi="仿宋" w:eastAsia="仿宋" w:cs="仿宋"/>
          <w:sz w:val="28"/>
          <w:szCs w:val="28"/>
        </w:rPr>
      </w:pPr>
    </w:p>
    <w:p>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 xml:space="preserve">投标人名称（盖章）：        </w:t>
      </w:r>
    </w:p>
    <w:p>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法定代表人或授权代表（签字）：</w:t>
      </w:r>
    </w:p>
    <w:p>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日    期：</w:t>
      </w:r>
    </w:p>
    <w:p>
      <w:pPr>
        <w:spacing w:line="520" w:lineRule="exact"/>
        <w:ind w:firstLine="537" w:firstLineChars="192"/>
        <w:rPr>
          <w:rFonts w:ascii="仿宋" w:hAnsi="仿宋" w:eastAsia="仿宋" w:cs="仿宋"/>
          <w:sz w:val="28"/>
          <w:szCs w:val="28"/>
        </w:rPr>
      </w:pPr>
      <w:bookmarkStart w:id="293" w:name="_Toc217446083"/>
    </w:p>
    <w:p>
      <w:pPr>
        <w:spacing w:line="520" w:lineRule="exact"/>
        <w:ind w:firstLine="537" w:firstLineChars="192"/>
        <w:rPr>
          <w:rFonts w:ascii="仿宋" w:hAnsi="仿宋" w:eastAsia="仿宋" w:cs="仿宋"/>
          <w:sz w:val="28"/>
          <w:szCs w:val="28"/>
        </w:rPr>
      </w:pPr>
    </w:p>
    <w:p>
      <w:pPr>
        <w:spacing w:line="520" w:lineRule="exact"/>
        <w:ind w:firstLine="537" w:firstLineChars="192"/>
        <w:rPr>
          <w:rFonts w:ascii="仿宋" w:hAnsi="仿宋" w:eastAsia="仿宋" w:cs="仿宋"/>
          <w:sz w:val="28"/>
          <w:szCs w:val="28"/>
        </w:rPr>
      </w:pPr>
    </w:p>
    <w:p>
      <w:pPr>
        <w:spacing w:line="520" w:lineRule="exact"/>
        <w:rPr>
          <w:rFonts w:ascii="仿宋" w:hAnsi="仿宋" w:eastAsia="仿宋" w:cs="仿宋"/>
          <w:sz w:val="28"/>
          <w:szCs w:val="28"/>
        </w:rPr>
        <w:sectPr>
          <w:footerReference r:id="rId9" w:type="default"/>
          <w:pgSz w:w="11907" w:h="16840"/>
          <w:pgMar w:top="1134" w:right="1107" w:bottom="1440" w:left="1440" w:header="851" w:footer="992" w:gutter="0"/>
          <w:pgNumType w:chapStyle="1"/>
          <w:cols w:space="425" w:num="1"/>
          <w:docGrid w:linePitch="312" w:charSpace="0"/>
        </w:sectPr>
      </w:pPr>
    </w:p>
    <w:p>
      <w:pPr>
        <w:spacing w:line="520" w:lineRule="exact"/>
        <w:rPr>
          <w:rFonts w:ascii="仿宋" w:hAnsi="仿宋" w:eastAsia="仿宋" w:cs="仿宋"/>
          <w:b/>
          <w:sz w:val="28"/>
          <w:szCs w:val="28"/>
        </w:rPr>
      </w:pPr>
      <w:bookmarkStart w:id="294" w:name="_Toc425408087"/>
      <w:r>
        <w:rPr>
          <w:rFonts w:hint="eastAsia" w:ascii="仿宋" w:hAnsi="仿宋" w:eastAsia="仿宋" w:cs="仿宋"/>
          <w:b/>
          <w:sz w:val="28"/>
          <w:szCs w:val="28"/>
        </w:rPr>
        <w:t>二、法定代表人授权书</w:t>
      </w:r>
      <w:bookmarkEnd w:id="293"/>
      <w:bookmarkEnd w:id="294"/>
    </w:p>
    <w:p>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__________________（采购人）：</w:t>
      </w:r>
    </w:p>
    <w:p>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本授权声明：（投标人名称）（法定代表人姓名、职务）授权（被授权人姓名、职务）为我方 “ ” 项目投标活动的合法代表，以我方名义全权处理该项目有关投标、签订合同以及执行合同等一切事宜。</w:t>
      </w:r>
    </w:p>
    <w:p>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特此声明。</w:t>
      </w:r>
    </w:p>
    <w:p>
      <w:pPr>
        <w:spacing w:line="520" w:lineRule="exact"/>
        <w:rPr>
          <w:rFonts w:ascii="仿宋" w:hAnsi="仿宋" w:eastAsia="仿宋" w:cs="仿宋"/>
          <w:sz w:val="28"/>
          <w:szCs w:val="28"/>
        </w:rPr>
      </w:pPr>
    </w:p>
    <w:p>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法定代表人签字：</w:t>
      </w:r>
    </w:p>
    <w:p>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授权代表签字：</w:t>
      </w:r>
    </w:p>
    <w:p>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 xml:space="preserve">投标人名称（盖章）：         </w:t>
      </w:r>
    </w:p>
    <w:p>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日    期：</w:t>
      </w:r>
    </w:p>
    <w:p>
      <w:pPr>
        <w:pStyle w:val="22"/>
        <w:spacing w:line="520" w:lineRule="exact"/>
        <w:rPr>
          <w:rFonts w:ascii="仿宋" w:hAnsi="仿宋" w:eastAsia="仿宋" w:cs="仿宋"/>
          <w:sz w:val="28"/>
          <w:szCs w:val="28"/>
        </w:rPr>
      </w:pPr>
      <w:r>
        <w:rPr>
          <w:rFonts w:hint="eastAsia" w:ascii="仿宋" w:hAnsi="仿宋" w:eastAsia="仿宋" w:cs="仿宋"/>
          <w:sz w:val="28"/>
          <w:szCs w:val="28"/>
        </w:rPr>
        <w:t>（若法定代表人亲自参加投标活动，需提供法定代表人身份证明，格式如下）</w:t>
      </w:r>
    </w:p>
    <w:p>
      <w:pPr>
        <w:pStyle w:val="38"/>
        <w:spacing w:line="520" w:lineRule="exact"/>
        <w:jc w:val="center"/>
        <w:rPr>
          <w:rFonts w:ascii="仿宋" w:hAnsi="仿宋" w:eastAsia="仿宋" w:cs="仿宋"/>
          <w:sz w:val="28"/>
          <w:szCs w:val="28"/>
        </w:rPr>
      </w:pPr>
      <w:r>
        <w:rPr>
          <w:rStyle w:val="45"/>
          <w:rFonts w:hint="eastAsia" w:ascii="仿宋" w:hAnsi="仿宋" w:eastAsia="仿宋" w:cs="仿宋"/>
          <w:sz w:val="28"/>
          <w:szCs w:val="28"/>
        </w:rPr>
        <w:t>法定代表人身份证明书</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×××（姓名、性别、年龄）在我公司（或者企业、单位）任×××（董事长、总经理等）职务，是我公司（或者企业、单位）的法定代表人。　　</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特此证明。　　</w:t>
      </w:r>
    </w:p>
    <w:p>
      <w:pPr>
        <w:spacing w:line="520" w:lineRule="exact"/>
        <w:ind w:firstLine="560" w:firstLineChars="200"/>
        <w:rPr>
          <w:rFonts w:ascii="仿宋" w:hAnsi="仿宋" w:eastAsia="仿宋" w:cs="仿宋"/>
          <w:sz w:val="28"/>
          <w:szCs w:val="28"/>
        </w:rPr>
      </w:pP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×××公司（单位全称加盖公章） 　　</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×年×月×日 　　</w:t>
      </w:r>
    </w:p>
    <w:p>
      <w:pPr>
        <w:spacing w:line="520" w:lineRule="exact"/>
        <w:ind w:firstLine="560" w:firstLineChars="200"/>
        <w:rPr>
          <w:rFonts w:ascii="仿宋" w:hAnsi="仿宋" w:eastAsia="仿宋" w:cs="仿宋"/>
          <w:sz w:val="28"/>
          <w:szCs w:val="28"/>
        </w:rPr>
      </w:pP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法定代表人住址： 　　</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电话： </w:t>
      </w:r>
    </w:p>
    <w:p>
      <w:pPr>
        <w:spacing w:line="520" w:lineRule="exact"/>
        <w:rPr>
          <w:rFonts w:ascii="仿宋" w:hAnsi="仿宋" w:eastAsia="仿宋" w:cs="仿宋"/>
          <w:sz w:val="28"/>
          <w:szCs w:val="28"/>
        </w:rPr>
      </w:pPr>
      <w:r>
        <w:rPr>
          <w:rFonts w:hint="eastAsia" w:ascii="仿宋" w:hAnsi="仿宋" w:eastAsia="仿宋" w:cs="仿宋"/>
          <w:sz w:val="28"/>
          <w:szCs w:val="28"/>
        </w:rPr>
        <w:t>附：法定代表人身份证身印件　　</w:t>
      </w:r>
    </w:p>
    <w:p>
      <w:pPr>
        <w:spacing w:line="500" w:lineRule="exact"/>
        <w:ind w:firstLine="463" w:firstLineChars="192"/>
        <w:rPr>
          <w:rFonts w:asciiTheme="minorEastAsia" w:hAnsiTheme="minorEastAsia" w:eastAsiaTheme="minorEastAsia"/>
          <w:b/>
          <w:szCs w:val="28"/>
        </w:rPr>
        <w:sectPr>
          <w:pgSz w:w="11907" w:h="16840"/>
          <w:pgMar w:top="1440" w:right="1466" w:bottom="1440" w:left="1440" w:header="851" w:footer="992" w:gutter="0"/>
          <w:cols w:space="425" w:num="1"/>
          <w:docGrid w:linePitch="312" w:charSpace="0"/>
        </w:sectPr>
      </w:pPr>
    </w:p>
    <w:p>
      <w:pPr>
        <w:autoSpaceDE w:val="0"/>
        <w:autoSpaceDN w:val="0"/>
        <w:adjustRightInd w:val="0"/>
        <w:snapToGrid w:val="0"/>
        <w:spacing w:line="360" w:lineRule="auto"/>
        <w:jc w:val="left"/>
        <w:outlineLvl w:val="1"/>
        <w:rPr>
          <w:rFonts w:ascii="仿宋" w:hAnsi="仿宋" w:eastAsia="仿宋" w:cs="仿宋"/>
          <w:b/>
          <w:snapToGrid w:val="0"/>
          <w:w w:val="99"/>
          <w:kern w:val="0"/>
          <w:sz w:val="28"/>
          <w:szCs w:val="28"/>
          <w:lang w:val="zh-CN"/>
        </w:rPr>
      </w:pPr>
      <w:r>
        <w:rPr>
          <w:rFonts w:hint="eastAsia" w:ascii="仿宋" w:hAnsi="仿宋" w:eastAsia="仿宋" w:cs="仿宋"/>
          <w:b/>
          <w:snapToGrid w:val="0"/>
          <w:w w:val="99"/>
          <w:kern w:val="0"/>
          <w:sz w:val="28"/>
          <w:szCs w:val="28"/>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投标人名称</w:t>
            </w:r>
          </w:p>
        </w:tc>
        <w:tc>
          <w:tcPr>
            <w:tcW w:w="7308" w:type="dxa"/>
            <w:gridSpan w:val="9"/>
            <w:vAlign w:val="center"/>
          </w:tcPr>
          <w:p>
            <w:pPr>
              <w:spacing w:line="500" w:lineRule="exact"/>
              <w:rPr>
                <w:rFonts w:ascii="宋体" w:hAnsi="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注册地址</w:t>
            </w:r>
          </w:p>
        </w:tc>
        <w:tc>
          <w:tcPr>
            <w:tcW w:w="3165" w:type="dxa"/>
            <w:gridSpan w:val="5"/>
            <w:vAlign w:val="center"/>
          </w:tcPr>
          <w:p>
            <w:pPr>
              <w:spacing w:line="500" w:lineRule="exact"/>
              <w:rPr>
                <w:rFonts w:ascii="宋体" w:hAnsi="宋体" w:cs="宋体"/>
                <w:kern w:val="0"/>
                <w:sz w:val="21"/>
                <w:szCs w:val="21"/>
              </w:rPr>
            </w:pPr>
          </w:p>
        </w:tc>
        <w:tc>
          <w:tcPr>
            <w:tcW w:w="1319"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邮政编码</w:t>
            </w:r>
          </w:p>
        </w:tc>
        <w:tc>
          <w:tcPr>
            <w:tcW w:w="2824" w:type="dxa"/>
            <w:gridSpan w:val="3"/>
            <w:vAlign w:val="center"/>
          </w:tcPr>
          <w:p>
            <w:pPr>
              <w:spacing w:line="500" w:lineRule="exact"/>
              <w:rPr>
                <w:rFonts w:ascii="宋体" w:hAnsi="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pPr>
              <w:spacing w:line="500" w:lineRule="exact"/>
              <w:rPr>
                <w:rFonts w:ascii="宋体" w:hAnsi="宋体" w:cs="宋体"/>
                <w:kern w:val="0"/>
                <w:sz w:val="21"/>
                <w:szCs w:val="21"/>
              </w:rPr>
            </w:pPr>
            <w:r>
              <w:rPr>
                <w:rFonts w:hint="eastAsia" w:ascii="宋体" w:hAnsi="宋体" w:cs="宋体"/>
                <w:kern w:val="0"/>
                <w:sz w:val="21"/>
                <w:szCs w:val="21"/>
              </w:rPr>
              <w:t>联系方式</w:t>
            </w:r>
          </w:p>
        </w:tc>
        <w:tc>
          <w:tcPr>
            <w:tcW w:w="1080" w:type="dxa"/>
            <w:gridSpan w:val="2"/>
            <w:vAlign w:val="center"/>
          </w:tcPr>
          <w:p>
            <w:pPr>
              <w:spacing w:line="500" w:lineRule="exact"/>
              <w:rPr>
                <w:rFonts w:ascii="宋体" w:hAnsi="宋体" w:cs="宋体"/>
                <w:kern w:val="0"/>
                <w:sz w:val="21"/>
                <w:szCs w:val="21"/>
              </w:rPr>
            </w:pPr>
            <w:r>
              <w:rPr>
                <w:rFonts w:hint="eastAsia" w:ascii="宋体" w:hAnsi="宋体" w:cs="宋体"/>
                <w:kern w:val="0"/>
                <w:sz w:val="21"/>
                <w:szCs w:val="21"/>
              </w:rPr>
              <w:t>联系人</w:t>
            </w:r>
          </w:p>
        </w:tc>
        <w:tc>
          <w:tcPr>
            <w:tcW w:w="2077" w:type="dxa"/>
            <w:gridSpan w:val="2"/>
            <w:vAlign w:val="center"/>
          </w:tcPr>
          <w:p>
            <w:pPr>
              <w:spacing w:line="500" w:lineRule="exact"/>
              <w:rPr>
                <w:rFonts w:ascii="宋体" w:hAnsi="宋体" w:cs="宋体"/>
                <w:kern w:val="0"/>
                <w:sz w:val="21"/>
                <w:szCs w:val="21"/>
              </w:rPr>
            </w:pPr>
          </w:p>
        </w:tc>
        <w:tc>
          <w:tcPr>
            <w:tcW w:w="1327" w:type="dxa"/>
            <w:gridSpan w:val="2"/>
            <w:vAlign w:val="center"/>
          </w:tcPr>
          <w:p>
            <w:pPr>
              <w:spacing w:line="500" w:lineRule="exact"/>
              <w:rPr>
                <w:rFonts w:ascii="宋体" w:hAnsi="宋体" w:cs="宋体"/>
                <w:kern w:val="0"/>
                <w:sz w:val="21"/>
                <w:szCs w:val="21"/>
              </w:rPr>
            </w:pPr>
            <w:r>
              <w:rPr>
                <w:rFonts w:hint="eastAsia" w:ascii="宋体" w:hAnsi="宋体" w:cs="宋体"/>
                <w:kern w:val="0"/>
                <w:sz w:val="21"/>
                <w:szCs w:val="21"/>
              </w:rPr>
              <w:t>电话</w:t>
            </w:r>
          </w:p>
        </w:tc>
        <w:tc>
          <w:tcPr>
            <w:tcW w:w="2824" w:type="dxa"/>
            <w:gridSpan w:val="3"/>
            <w:vAlign w:val="center"/>
          </w:tcPr>
          <w:p>
            <w:pPr>
              <w:spacing w:line="500" w:lineRule="exact"/>
              <w:rPr>
                <w:rFonts w:ascii="宋体" w:hAnsi="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pPr>
              <w:spacing w:line="500" w:lineRule="exact"/>
              <w:rPr>
                <w:rFonts w:ascii="宋体" w:hAnsi="宋体" w:cs="宋体"/>
                <w:kern w:val="0"/>
                <w:sz w:val="21"/>
                <w:szCs w:val="21"/>
              </w:rPr>
            </w:pPr>
          </w:p>
        </w:tc>
        <w:tc>
          <w:tcPr>
            <w:tcW w:w="1080" w:type="dxa"/>
            <w:gridSpan w:val="2"/>
            <w:vAlign w:val="center"/>
          </w:tcPr>
          <w:p>
            <w:pPr>
              <w:spacing w:line="500" w:lineRule="exact"/>
              <w:rPr>
                <w:rFonts w:ascii="宋体" w:hAnsi="宋体" w:cs="宋体"/>
                <w:kern w:val="0"/>
                <w:sz w:val="21"/>
                <w:szCs w:val="21"/>
              </w:rPr>
            </w:pPr>
            <w:r>
              <w:rPr>
                <w:rFonts w:hint="eastAsia" w:ascii="宋体" w:hAnsi="宋体" w:cs="宋体"/>
                <w:kern w:val="0"/>
                <w:sz w:val="21"/>
                <w:szCs w:val="21"/>
              </w:rPr>
              <w:t>传真</w:t>
            </w:r>
          </w:p>
        </w:tc>
        <w:tc>
          <w:tcPr>
            <w:tcW w:w="2077" w:type="dxa"/>
            <w:gridSpan w:val="2"/>
            <w:vAlign w:val="center"/>
          </w:tcPr>
          <w:p>
            <w:pPr>
              <w:spacing w:line="500" w:lineRule="exact"/>
              <w:rPr>
                <w:rFonts w:ascii="宋体" w:hAnsi="宋体" w:cs="宋体"/>
                <w:kern w:val="0"/>
                <w:sz w:val="21"/>
                <w:szCs w:val="21"/>
              </w:rPr>
            </w:pPr>
          </w:p>
        </w:tc>
        <w:tc>
          <w:tcPr>
            <w:tcW w:w="1327" w:type="dxa"/>
            <w:gridSpan w:val="2"/>
            <w:vAlign w:val="center"/>
          </w:tcPr>
          <w:p>
            <w:pPr>
              <w:spacing w:line="500" w:lineRule="exact"/>
              <w:rPr>
                <w:rFonts w:ascii="宋体" w:hAnsi="宋体" w:cs="宋体"/>
                <w:kern w:val="0"/>
                <w:sz w:val="21"/>
                <w:szCs w:val="21"/>
              </w:rPr>
            </w:pPr>
            <w:r>
              <w:rPr>
                <w:rFonts w:hint="eastAsia" w:ascii="宋体" w:hAnsi="宋体" w:cs="宋体"/>
                <w:kern w:val="0"/>
                <w:sz w:val="21"/>
                <w:szCs w:val="21"/>
              </w:rPr>
              <w:t>网址</w:t>
            </w:r>
          </w:p>
        </w:tc>
        <w:tc>
          <w:tcPr>
            <w:tcW w:w="2824" w:type="dxa"/>
            <w:gridSpan w:val="3"/>
            <w:vAlign w:val="center"/>
          </w:tcPr>
          <w:p>
            <w:pPr>
              <w:spacing w:line="500" w:lineRule="exact"/>
              <w:rPr>
                <w:rFonts w:ascii="宋体" w:hAnsi="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组织结构</w:t>
            </w:r>
          </w:p>
        </w:tc>
        <w:tc>
          <w:tcPr>
            <w:tcW w:w="7308" w:type="dxa"/>
            <w:gridSpan w:val="9"/>
            <w:vAlign w:val="center"/>
          </w:tcPr>
          <w:p>
            <w:pPr>
              <w:spacing w:line="500" w:lineRule="exact"/>
              <w:rPr>
                <w:rFonts w:ascii="宋体" w:hAnsi="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法定代表人</w:t>
            </w:r>
          </w:p>
        </w:tc>
        <w:tc>
          <w:tcPr>
            <w:tcW w:w="696"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pPr>
              <w:spacing w:line="500" w:lineRule="exact"/>
              <w:rPr>
                <w:rFonts w:ascii="宋体" w:hAnsi="宋体" w:cs="宋体"/>
                <w:kern w:val="0"/>
                <w:sz w:val="21"/>
                <w:szCs w:val="21"/>
              </w:rPr>
            </w:pPr>
          </w:p>
        </w:tc>
        <w:tc>
          <w:tcPr>
            <w:tcW w:w="1177"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pPr>
              <w:spacing w:line="500" w:lineRule="exact"/>
              <w:rPr>
                <w:rFonts w:ascii="宋体" w:hAnsi="宋体" w:cs="宋体"/>
                <w:kern w:val="0"/>
                <w:sz w:val="21"/>
                <w:szCs w:val="21"/>
              </w:rPr>
            </w:pPr>
          </w:p>
        </w:tc>
        <w:tc>
          <w:tcPr>
            <w:tcW w:w="1173" w:type="dxa"/>
            <w:gridSpan w:val="2"/>
            <w:vAlign w:val="center"/>
          </w:tcPr>
          <w:p>
            <w:pPr>
              <w:spacing w:line="500" w:lineRule="exact"/>
              <w:rPr>
                <w:rFonts w:ascii="宋体" w:hAnsi="宋体" w:cs="宋体"/>
                <w:kern w:val="0"/>
                <w:sz w:val="21"/>
                <w:szCs w:val="21"/>
              </w:rPr>
            </w:pPr>
            <w:r>
              <w:rPr>
                <w:rFonts w:hint="eastAsia" w:ascii="宋体" w:hAnsi="宋体" w:cs="宋体"/>
                <w:kern w:val="0"/>
                <w:sz w:val="21"/>
                <w:szCs w:val="21"/>
              </w:rPr>
              <w:t>电话</w:t>
            </w:r>
          </w:p>
        </w:tc>
        <w:tc>
          <w:tcPr>
            <w:tcW w:w="1651" w:type="dxa"/>
            <w:vAlign w:val="center"/>
          </w:tcPr>
          <w:p>
            <w:pPr>
              <w:spacing w:line="500" w:lineRule="exact"/>
              <w:rPr>
                <w:rFonts w:ascii="宋体" w:hAnsi="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技术负责人</w:t>
            </w:r>
          </w:p>
        </w:tc>
        <w:tc>
          <w:tcPr>
            <w:tcW w:w="696"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pPr>
              <w:spacing w:line="500" w:lineRule="exact"/>
              <w:rPr>
                <w:rFonts w:ascii="宋体" w:hAnsi="宋体" w:cs="宋体"/>
                <w:kern w:val="0"/>
                <w:sz w:val="21"/>
                <w:szCs w:val="21"/>
              </w:rPr>
            </w:pPr>
          </w:p>
        </w:tc>
        <w:tc>
          <w:tcPr>
            <w:tcW w:w="1177"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pPr>
              <w:spacing w:line="500" w:lineRule="exact"/>
              <w:rPr>
                <w:rFonts w:ascii="宋体" w:hAnsi="宋体" w:cs="宋体"/>
                <w:kern w:val="0"/>
                <w:sz w:val="21"/>
                <w:szCs w:val="21"/>
              </w:rPr>
            </w:pPr>
          </w:p>
        </w:tc>
        <w:tc>
          <w:tcPr>
            <w:tcW w:w="1173" w:type="dxa"/>
            <w:gridSpan w:val="2"/>
            <w:vAlign w:val="center"/>
          </w:tcPr>
          <w:p>
            <w:pPr>
              <w:spacing w:line="500" w:lineRule="exact"/>
              <w:rPr>
                <w:rFonts w:ascii="宋体" w:hAnsi="宋体" w:cs="宋体"/>
                <w:kern w:val="0"/>
                <w:sz w:val="21"/>
                <w:szCs w:val="21"/>
              </w:rPr>
            </w:pPr>
            <w:r>
              <w:rPr>
                <w:rFonts w:hint="eastAsia" w:ascii="宋体" w:hAnsi="宋体" w:cs="宋体"/>
                <w:kern w:val="0"/>
                <w:sz w:val="21"/>
                <w:szCs w:val="21"/>
              </w:rPr>
              <w:t>电话</w:t>
            </w:r>
          </w:p>
        </w:tc>
        <w:tc>
          <w:tcPr>
            <w:tcW w:w="1651" w:type="dxa"/>
            <w:vAlign w:val="center"/>
          </w:tcPr>
          <w:p>
            <w:pPr>
              <w:spacing w:line="500" w:lineRule="exact"/>
              <w:rPr>
                <w:rFonts w:ascii="宋体" w:hAnsi="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成立时间</w:t>
            </w:r>
          </w:p>
        </w:tc>
        <w:tc>
          <w:tcPr>
            <w:tcW w:w="1980" w:type="dxa"/>
            <w:gridSpan w:val="3"/>
            <w:vAlign w:val="center"/>
          </w:tcPr>
          <w:p>
            <w:pPr>
              <w:spacing w:line="500" w:lineRule="exact"/>
              <w:rPr>
                <w:rFonts w:ascii="宋体" w:hAnsi="宋体" w:cs="宋体"/>
                <w:kern w:val="0"/>
                <w:sz w:val="21"/>
                <w:szCs w:val="21"/>
              </w:rPr>
            </w:pPr>
          </w:p>
        </w:tc>
        <w:tc>
          <w:tcPr>
            <w:tcW w:w="5328" w:type="dxa"/>
            <w:gridSpan w:val="6"/>
            <w:vAlign w:val="center"/>
          </w:tcPr>
          <w:p>
            <w:pPr>
              <w:spacing w:line="500" w:lineRule="exact"/>
              <w:rPr>
                <w:rFonts w:ascii="宋体" w:hAnsi="宋体" w:cs="宋体"/>
                <w:kern w:val="0"/>
                <w:sz w:val="21"/>
                <w:szCs w:val="21"/>
              </w:rPr>
            </w:pPr>
            <w:r>
              <w:rPr>
                <w:rFonts w:hint="eastAsia" w:ascii="宋体" w:hAnsi="宋体" w:cs="宋体"/>
                <w:kern w:val="0"/>
                <w:sz w:val="21"/>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企业资质等级</w:t>
            </w:r>
          </w:p>
        </w:tc>
        <w:tc>
          <w:tcPr>
            <w:tcW w:w="1980" w:type="dxa"/>
            <w:gridSpan w:val="3"/>
            <w:vAlign w:val="center"/>
          </w:tcPr>
          <w:p>
            <w:pPr>
              <w:spacing w:line="500" w:lineRule="exact"/>
              <w:rPr>
                <w:rFonts w:ascii="宋体" w:hAnsi="宋体" w:cs="宋体"/>
                <w:kern w:val="0"/>
                <w:sz w:val="21"/>
                <w:szCs w:val="21"/>
              </w:rPr>
            </w:pPr>
          </w:p>
        </w:tc>
        <w:tc>
          <w:tcPr>
            <w:tcW w:w="1177" w:type="dxa"/>
            <w:vMerge w:val="restart"/>
            <w:vAlign w:val="center"/>
          </w:tcPr>
          <w:p>
            <w:pPr>
              <w:spacing w:line="500" w:lineRule="exact"/>
              <w:rPr>
                <w:rFonts w:ascii="宋体" w:hAnsi="宋体" w:cs="宋体"/>
                <w:kern w:val="0"/>
                <w:sz w:val="21"/>
                <w:szCs w:val="21"/>
              </w:rPr>
            </w:pPr>
            <w:r>
              <w:rPr>
                <w:rFonts w:hint="eastAsia" w:ascii="宋体" w:hAnsi="宋体" w:cs="宋体"/>
                <w:kern w:val="0"/>
                <w:sz w:val="21"/>
                <w:szCs w:val="21"/>
              </w:rPr>
              <w:t>其中</w:t>
            </w:r>
          </w:p>
        </w:tc>
        <w:tc>
          <w:tcPr>
            <w:tcW w:w="1883" w:type="dxa"/>
            <w:gridSpan w:val="3"/>
            <w:vAlign w:val="center"/>
          </w:tcPr>
          <w:p>
            <w:pPr>
              <w:spacing w:line="500" w:lineRule="exact"/>
              <w:rPr>
                <w:rFonts w:ascii="宋体" w:hAnsi="宋体" w:cs="宋体"/>
                <w:kern w:val="0"/>
                <w:sz w:val="21"/>
                <w:szCs w:val="21"/>
              </w:rPr>
            </w:pPr>
            <w:r>
              <w:rPr>
                <w:rFonts w:hint="eastAsia" w:ascii="宋体" w:hAnsi="宋体" w:cs="宋体"/>
                <w:kern w:val="0"/>
                <w:sz w:val="21"/>
                <w:szCs w:val="21"/>
              </w:rPr>
              <w:t>项目经理</w:t>
            </w:r>
          </w:p>
        </w:tc>
        <w:tc>
          <w:tcPr>
            <w:tcW w:w="2268" w:type="dxa"/>
            <w:gridSpan w:val="2"/>
            <w:vAlign w:val="center"/>
          </w:tcPr>
          <w:p>
            <w:pPr>
              <w:spacing w:line="500" w:lineRule="exact"/>
              <w:rPr>
                <w:rFonts w:ascii="宋体" w:hAnsi="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营业执照号</w:t>
            </w:r>
          </w:p>
        </w:tc>
        <w:tc>
          <w:tcPr>
            <w:tcW w:w="1980" w:type="dxa"/>
            <w:gridSpan w:val="3"/>
            <w:vAlign w:val="center"/>
          </w:tcPr>
          <w:p>
            <w:pPr>
              <w:spacing w:line="500" w:lineRule="exact"/>
              <w:rPr>
                <w:rFonts w:ascii="宋体" w:hAnsi="宋体" w:cs="宋体"/>
                <w:kern w:val="0"/>
                <w:sz w:val="21"/>
                <w:szCs w:val="21"/>
              </w:rPr>
            </w:pPr>
          </w:p>
        </w:tc>
        <w:tc>
          <w:tcPr>
            <w:tcW w:w="1177" w:type="dxa"/>
            <w:vMerge w:val="continue"/>
            <w:vAlign w:val="center"/>
          </w:tcPr>
          <w:p>
            <w:pPr>
              <w:spacing w:line="500" w:lineRule="exact"/>
              <w:rPr>
                <w:rFonts w:ascii="宋体" w:hAnsi="宋体" w:cs="宋体"/>
                <w:kern w:val="0"/>
                <w:sz w:val="21"/>
                <w:szCs w:val="21"/>
              </w:rPr>
            </w:pPr>
          </w:p>
        </w:tc>
        <w:tc>
          <w:tcPr>
            <w:tcW w:w="1883" w:type="dxa"/>
            <w:gridSpan w:val="3"/>
            <w:vAlign w:val="center"/>
          </w:tcPr>
          <w:p>
            <w:pPr>
              <w:spacing w:line="500" w:lineRule="exact"/>
              <w:rPr>
                <w:rFonts w:ascii="宋体" w:hAnsi="宋体" w:cs="宋体"/>
                <w:kern w:val="0"/>
                <w:sz w:val="21"/>
                <w:szCs w:val="21"/>
              </w:rPr>
            </w:pPr>
            <w:r>
              <w:rPr>
                <w:rFonts w:hint="eastAsia" w:ascii="宋体" w:hAnsi="宋体" w:cs="宋体"/>
                <w:kern w:val="0"/>
                <w:sz w:val="21"/>
                <w:szCs w:val="21"/>
              </w:rPr>
              <w:t>高级职称人员</w:t>
            </w:r>
          </w:p>
        </w:tc>
        <w:tc>
          <w:tcPr>
            <w:tcW w:w="2268" w:type="dxa"/>
            <w:gridSpan w:val="2"/>
            <w:vAlign w:val="center"/>
          </w:tcPr>
          <w:p>
            <w:pPr>
              <w:spacing w:line="500" w:lineRule="exact"/>
              <w:rPr>
                <w:rFonts w:ascii="宋体" w:hAnsi="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注册资金</w:t>
            </w:r>
          </w:p>
        </w:tc>
        <w:tc>
          <w:tcPr>
            <w:tcW w:w="1980" w:type="dxa"/>
            <w:gridSpan w:val="3"/>
            <w:vAlign w:val="center"/>
          </w:tcPr>
          <w:p>
            <w:pPr>
              <w:spacing w:line="500" w:lineRule="exact"/>
              <w:rPr>
                <w:rFonts w:ascii="宋体" w:hAnsi="宋体" w:cs="宋体"/>
                <w:kern w:val="0"/>
                <w:sz w:val="21"/>
                <w:szCs w:val="21"/>
              </w:rPr>
            </w:pPr>
          </w:p>
        </w:tc>
        <w:tc>
          <w:tcPr>
            <w:tcW w:w="1177" w:type="dxa"/>
            <w:vMerge w:val="continue"/>
            <w:vAlign w:val="center"/>
          </w:tcPr>
          <w:p>
            <w:pPr>
              <w:spacing w:line="500" w:lineRule="exact"/>
              <w:rPr>
                <w:rFonts w:ascii="宋体" w:hAnsi="宋体" w:cs="宋体"/>
                <w:kern w:val="0"/>
                <w:sz w:val="21"/>
                <w:szCs w:val="21"/>
              </w:rPr>
            </w:pPr>
          </w:p>
        </w:tc>
        <w:tc>
          <w:tcPr>
            <w:tcW w:w="1883" w:type="dxa"/>
            <w:gridSpan w:val="3"/>
            <w:vAlign w:val="center"/>
          </w:tcPr>
          <w:p>
            <w:pPr>
              <w:spacing w:line="500" w:lineRule="exact"/>
              <w:rPr>
                <w:rFonts w:ascii="宋体" w:hAnsi="宋体" w:cs="宋体"/>
                <w:kern w:val="0"/>
                <w:sz w:val="21"/>
                <w:szCs w:val="21"/>
              </w:rPr>
            </w:pPr>
            <w:r>
              <w:rPr>
                <w:rFonts w:hint="eastAsia" w:ascii="宋体" w:hAnsi="宋体" w:cs="宋体"/>
                <w:kern w:val="0"/>
                <w:sz w:val="21"/>
                <w:szCs w:val="21"/>
              </w:rPr>
              <w:t>中级职称人员</w:t>
            </w:r>
          </w:p>
        </w:tc>
        <w:tc>
          <w:tcPr>
            <w:tcW w:w="2268" w:type="dxa"/>
            <w:gridSpan w:val="2"/>
            <w:vAlign w:val="center"/>
          </w:tcPr>
          <w:p>
            <w:pPr>
              <w:spacing w:line="500" w:lineRule="exact"/>
              <w:rPr>
                <w:rFonts w:ascii="宋体" w:hAnsi="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开户银行</w:t>
            </w:r>
          </w:p>
        </w:tc>
        <w:tc>
          <w:tcPr>
            <w:tcW w:w="1980" w:type="dxa"/>
            <w:gridSpan w:val="3"/>
            <w:vAlign w:val="center"/>
          </w:tcPr>
          <w:p>
            <w:pPr>
              <w:spacing w:line="500" w:lineRule="exact"/>
              <w:rPr>
                <w:rFonts w:ascii="宋体" w:hAnsi="宋体" w:cs="宋体"/>
                <w:kern w:val="0"/>
                <w:sz w:val="21"/>
                <w:szCs w:val="21"/>
              </w:rPr>
            </w:pPr>
          </w:p>
        </w:tc>
        <w:tc>
          <w:tcPr>
            <w:tcW w:w="1177" w:type="dxa"/>
            <w:vMerge w:val="continue"/>
            <w:vAlign w:val="center"/>
          </w:tcPr>
          <w:p>
            <w:pPr>
              <w:spacing w:line="500" w:lineRule="exact"/>
              <w:rPr>
                <w:rFonts w:ascii="宋体" w:hAnsi="宋体" w:cs="宋体"/>
                <w:kern w:val="0"/>
                <w:sz w:val="21"/>
                <w:szCs w:val="21"/>
              </w:rPr>
            </w:pPr>
          </w:p>
        </w:tc>
        <w:tc>
          <w:tcPr>
            <w:tcW w:w="1883" w:type="dxa"/>
            <w:gridSpan w:val="3"/>
            <w:vAlign w:val="center"/>
          </w:tcPr>
          <w:p>
            <w:pPr>
              <w:spacing w:line="500" w:lineRule="exact"/>
              <w:rPr>
                <w:rFonts w:ascii="宋体" w:hAnsi="宋体" w:cs="宋体"/>
                <w:kern w:val="0"/>
                <w:sz w:val="21"/>
                <w:szCs w:val="21"/>
              </w:rPr>
            </w:pPr>
            <w:r>
              <w:rPr>
                <w:rFonts w:hint="eastAsia" w:ascii="宋体" w:hAnsi="宋体" w:cs="宋体"/>
                <w:kern w:val="0"/>
                <w:sz w:val="21"/>
                <w:szCs w:val="21"/>
              </w:rPr>
              <w:t>初级职称人员</w:t>
            </w:r>
          </w:p>
        </w:tc>
        <w:tc>
          <w:tcPr>
            <w:tcW w:w="2268" w:type="dxa"/>
            <w:gridSpan w:val="2"/>
            <w:vAlign w:val="center"/>
          </w:tcPr>
          <w:p>
            <w:pPr>
              <w:spacing w:line="500" w:lineRule="exact"/>
              <w:rPr>
                <w:rFonts w:ascii="宋体" w:hAnsi="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账号</w:t>
            </w:r>
          </w:p>
        </w:tc>
        <w:tc>
          <w:tcPr>
            <w:tcW w:w="1980" w:type="dxa"/>
            <w:gridSpan w:val="3"/>
            <w:vAlign w:val="center"/>
          </w:tcPr>
          <w:p>
            <w:pPr>
              <w:spacing w:line="500" w:lineRule="exact"/>
              <w:rPr>
                <w:rFonts w:ascii="宋体" w:hAnsi="宋体" w:cs="宋体"/>
                <w:kern w:val="0"/>
                <w:sz w:val="21"/>
                <w:szCs w:val="21"/>
              </w:rPr>
            </w:pPr>
          </w:p>
        </w:tc>
        <w:tc>
          <w:tcPr>
            <w:tcW w:w="1177" w:type="dxa"/>
            <w:vMerge w:val="continue"/>
            <w:vAlign w:val="center"/>
          </w:tcPr>
          <w:p>
            <w:pPr>
              <w:spacing w:line="500" w:lineRule="exact"/>
              <w:rPr>
                <w:rFonts w:ascii="宋体" w:hAnsi="宋体" w:cs="宋体"/>
                <w:kern w:val="0"/>
                <w:sz w:val="21"/>
                <w:szCs w:val="21"/>
              </w:rPr>
            </w:pPr>
          </w:p>
        </w:tc>
        <w:tc>
          <w:tcPr>
            <w:tcW w:w="1883" w:type="dxa"/>
            <w:gridSpan w:val="3"/>
            <w:vAlign w:val="center"/>
          </w:tcPr>
          <w:p>
            <w:pPr>
              <w:spacing w:line="500" w:lineRule="exact"/>
              <w:rPr>
                <w:rFonts w:ascii="宋体" w:hAnsi="宋体" w:cs="宋体"/>
                <w:kern w:val="0"/>
                <w:sz w:val="21"/>
                <w:szCs w:val="21"/>
              </w:rPr>
            </w:pPr>
            <w:r>
              <w:rPr>
                <w:rFonts w:hint="eastAsia" w:ascii="宋体" w:hAnsi="宋体" w:cs="宋体"/>
                <w:kern w:val="0"/>
                <w:sz w:val="21"/>
                <w:szCs w:val="21"/>
              </w:rPr>
              <w:t>技工</w:t>
            </w:r>
          </w:p>
        </w:tc>
        <w:tc>
          <w:tcPr>
            <w:tcW w:w="2268" w:type="dxa"/>
            <w:gridSpan w:val="2"/>
            <w:vAlign w:val="center"/>
          </w:tcPr>
          <w:p>
            <w:pPr>
              <w:spacing w:line="500" w:lineRule="exact"/>
              <w:rPr>
                <w:rFonts w:ascii="宋体" w:hAnsi="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经营范围</w:t>
            </w:r>
          </w:p>
        </w:tc>
        <w:tc>
          <w:tcPr>
            <w:tcW w:w="7308" w:type="dxa"/>
            <w:gridSpan w:val="9"/>
            <w:vAlign w:val="center"/>
          </w:tcPr>
          <w:p>
            <w:pPr>
              <w:spacing w:line="500" w:lineRule="exact"/>
              <w:rPr>
                <w:rFonts w:ascii="宋体" w:hAnsi="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pPr>
              <w:spacing w:line="500" w:lineRule="exact"/>
              <w:rPr>
                <w:rFonts w:ascii="宋体" w:hAnsi="宋体" w:cs="宋体"/>
                <w:kern w:val="0"/>
                <w:sz w:val="21"/>
                <w:szCs w:val="21"/>
              </w:rPr>
            </w:pPr>
            <w:r>
              <w:rPr>
                <w:rFonts w:hint="eastAsia" w:ascii="宋体" w:hAnsi="宋体" w:cs="宋体"/>
                <w:kern w:val="0"/>
                <w:sz w:val="21"/>
                <w:szCs w:val="21"/>
              </w:rPr>
              <w:t>备注</w:t>
            </w:r>
          </w:p>
        </w:tc>
        <w:tc>
          <w:tcPr>
            <w:tcW w:w="7308" w:type="dxa"/>
            <w:gridSpan w:val="9"/>
            <w:vAlign w:val="center"/>
          </w:tcPr>
          <w:p>
            <w:pPr>
              <w:spacing w:line="500" w:lineRule="exact"/>
              <w:rPr>
                <w:rFonts w:ascii="宋体" w:hAnsi="宋体" w:cs="宋体"/>
                <w:kern w:val="0"/>
                <w:sz w:val="21"/>
                <w:szCs w:val="21"/>
              </w:rPr>
            </w:pPr>
          </w:p>
        </w:tc>
      </w:tr>
    </w:tbl>
    <w:p>
      <w:pPr>
        <w:spacing w:line="500" w:lineRule="exact"/>
        <w:rPr>
          <w:rFonts w:asciiTheme="minorEastAsia" w:hAnsiTheme="minorEastAsia" w:eastAsiaTheme="minorEastAsia"/>
          <w:b/>
          <w:szCs w:val="28"/>
        </w:rPr>
      </w:pPr>
    </w:p>
    <w:p>
      <w:pPr>
        <w:spacing w:line="50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投标人名称：        （盖章）</w:t>
      </w:r>
    </w:p>
    <w:p>
      <w:pPr>
        <w:spacing w:line="500" w:lineRule="exact"/>
        <w:rPr>
          <w:rFonts w:asciiTheme="minorEastAsia" w:hAnsiTheme="minorEastAsia" w:eastAsiaTheme="minorEastAsia"/>
          <w:bCs/>
          <w:sz w:val="28"/>
          <w:szCs w:val="28"/>
        </w:rPr>
      </w:pP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pPr>
        <w:spacing w:line="50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投标日期:</w:t>
      </w:r>
    </w:p>
    <w:p>
      <w:pPr>
        <w:spacing w:line="500" w:lineRule="exact"/>
        <w:ind w:firstLine="616" w:firstLineChars="257"/>
        <w:rPr>
          <w:rFonts w:asciiTheme="minorEastAsia" w:hAnsiTheme="minorEastAsia" w:eastAsiaTheme="minorEastAsia"/>
        </w:rPr>
      </w:pPr>
    </w:p>
    <w:p>
      <w:pPr>
        <w:rPr>
          <w:rFonts w:asciiTheme="minorEastAsia" w:hAnsiTheme="minorEastAsia" w:eastAsiaTheme="minorEastAsia"/>
          <w:b/>
          <w:sz w:val="28"/>
          <w:szCs w:val="28"/>
        </w:rPr>
      </w:pPr>
    </w:p>
    <w:p>
      <w:pPr>
        <w:autoSpaceDE w:val="0"/>
        <w:autoSpaceDN w:val="0"/>
        <w:adjustRightInd w:val="0"/>
        <w:snapToGrid w:val="0"/>
        <w:spacing w:line="360" w:lineRule="auto"/>
        <w:jc w:val="left"/>
        <w:outlineLvl w:val="1"/>
        <w:rPr>
          <w:rFonts w:ascii="仿宋" w:hAnsi="仿宋" w:eastAsia="仿宋" w:cs="仿宋"/>
          <w:b/>
          <w:snapToGrid w:val="0"/>
          <w:w w:val="99"/>
          <w:kern w:val="0"/>
          <w:sz w:val="28"/>
          <w:szCs w:val="28"/>
          <w:lang w:val="zh-CN"/>
        </w:rPr>
      </w:pPr>
      <w:r>
        <w:rPr>
          <w:rFonts w:hint="eastAsia" w:ascii="仿宋" w:hAnsi="仿宋" w:eastAsia="仿宋" w:cs="仿宋"/>
          <w:b/>
          <w:snapToGrid w:val="0"/>
          <w:w w:val="99"/>
          <w:kern w:val="0"/>
          <w:sz w:val="28"/>
          <w:szCs w:val="28"/>
          <w:lang w:val="zh-CN"/>
        </w:rPr>
        <w:t>四、折扣报价</w:t>
      </w:r>
    </w:p>
    <w:p>
      <w:pPr>
        <w:spacing w:line="500" w:lineRule="exact"/>
        <w:rPr>
          <w:rFonts w:ascii="仿宋" w:hAnsi="仿宋" w:eastAsia="仿宋" w:cs="仿宋"/>
          <w:bCs/>
          <w:sz w:val="28"/>
          <w:szCs w:val="28"/>
        </w:rPr>
      </w:pPr>
      <w:r>
        <w:rPr>
          <w:rFonts w:hint="eastAsia" w:ascii="仿宋" w:hAnsi="仿宋" w:eastAsia="仿宋" w:cs="仿宋"/>
          <w:b/>
          <w:bCs/>
          <w:kern w:val="0"/>
          <w:sz w:val="28"/>
          <w:szCs w:val="28"/>
        </w:rPr>
        <w:t>（根据招标要求由投标人自行编写）</w:t>
      </w: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rPr>
          <w:rFonts w:ascii="仿宋" w:hAnsi="仿宋" w:eastAsia="仿宋" w:cs="仿宋"/>
          <w:b/>
          <w:sz w:val="28"/>
          <w:szCs w:val="28"/>
        </w:rPr>
      </w:pPr>
    </w:p>
    <w:p>
      <w:pPr>
        <w:rPr>
          <w:rFonts w:ascii="仿宋" w:hAnsi="仿宋" w:eastAsia="仿宋" w:cs="仿宋"/>
          <w:b/>
          <w:sz w:val="28"/>
          <w:szCs w:val="28"/>
        </w:rPr>
      </w:pPr>
      <w:r>
        <w:rPr>
          <w:rFonts w:hint="eastAsia" w:ascii="仿宋" w:hAnsi="仿宋" w:eastAsia="仿宋" w:cs="仿宋"/>
          <w:b/>
          <w:sz w:val="28"/>
          <w:szCs w:val="28"/>
        </w:rPr>
        <w:t xml:space="preserve">五、相关资质证明及承诺                                          </w:t>
      </w:r>
    </w:p>
    <w:p>
      <w:pPr>
        <w:spacing w:line="520" w:lineRule="exact"/>
        <w:ind w:firstLine="660" w:firstLineChars="236"/>
        <w:jc w:val="left"/>
        <w:rPr>
          <w:rFonts w:ascii="仿宋" w:hAnsi="仿宋" w:eastAsia="仿宋" w:cs="仿宋"/>
          <w:sz w:val="28"/>
          <w:szCs w:val="28"/>
        </w:rPr>
      </w:pPr>
      <w:r>
        <w:rPr>
          <w:rFonts w:hint="eastAsia" w:ascii="仿宋" w:hAnsi="仿宋" w:eastAsia="仿宋" w:cs="仿宋"/>
          <w:sz w:val="28"/>
          <w:szCs w:val="28"/>
        </w:rPr>
        <w:t>1.提供企业营业执照副本复印件；税务登记证复印件；组织机构代码证复印件（已三证合一提供营业执照，须加盖投标人公章）；</w:t>
      </w: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p>
    <w:p>
      <w:pPr>
        <w:rPr>
          <w:rFonts w:hint="eastAsia" w:ascii="仿宋" w:hAnsi="仿宋" w:eastAsia="仿宋" w:cs="仿宋"/>
          <w:b/>
          <w:sz w:val="28"/>
          <w:szCs w:val="28"/>
        </w:rPr>
      </w:pPr>
    </w:p>
    <w:p>
      <w:pPr>
        <w:rPr>
          <w:rFonts w:ascii="仿宋" w:hAnsi="仿宋" w:eastAsia="仿宋" w:cs="仿宋"/>
          <w:b/>
          <w:sz w:val="28"/>
          <w:szCs w:val="28"/>
        </w:rPr>
      </w:pPr>
      <w:r>
        <w:rPr>
          <w:rFonts w:hint="eastAsia" w:ascii="仿宋" w:hAnsi="仿宋" w:eastAsia="仿宋" w:cs="仿宋"/>
          <w:b/>
          <w:sz w:val="28"/>
          <w:szCs w:val="28"/>
        </w:rPr>
        <w:t>六、售后服务</w:t>
      </w:r>
    </w:p>
    <w:p>
      <w:pPr>
        <w:rPr>
          <w:rFonts w:asciiTheme="minorEastAsia" w:hAnsiTheme="minorEastAsia" w:eastAsiaTheme="minorEastAsia"/>
          <w:b/>
          <w:sz w:val="28"/>
          <w:szCs w:val="28"/>
        </w:rPr>
      </w:pPr>
    </w:p>
    <w:p>
      <w:pPr>
        <w:rPr>
          <w:rFonts w:ascii="仿宋" w:hAnsi="仿宋" w:eastAsia="仿宋" w:cs="仿宋"/>
          <w:b/>
          <w:sz w:val="28"/>
          <w:szCs w:val="28"/>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sz w:val="28"/>
          <w:szCs w:val="28"/>
        </w:rPr>
        <w:t>（根据招标要求由投标人自行编写）</w:t>
      </w:r>
    </w:p>
    <w:p>
      <w:pPr>
        <w:rPr>
          <w:rFonts w:ascii="仿宋" w:hAnsi="仿宋" w:eastAsia="仿宋" w:cs="仿宋"/>
          <w:b/>
          <w:sz w:val="28"/>
          <w:szCs w:val="28"/>
        </w:rPr>
      </w:pPr>
      <w:r>
        <w:rPr>
          <w:rFonts w:hint="eastAsia" w:ascii="仿宋" w:hAnsi="仿宋" w:eastAsia="仿宋" w:cs="仿宋"/>
          <w:b/>
          <w:sz w:val="28"/>
          <w:szCs w:val="28"/>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pPr>
              <w:spacing w:line="500" w:lineRule="exact"/>
              <w:jc w:val="center"/>
              <w:rPr>
                <w:rFonts w:ascii="宋体" w:hAnsi="宋体" w:cs="宋体"/>
                <w:b/>
                <w:sz w:val="21"/>
                <w:szCs w:val="21"/>
              </w:rPr>
            </w:pPr>
            <w:r>
              <w:rPr>
                <w:rFonts w:hint="eastAsia" w:ascii="宋体" w:hAnsi="宋体" w:cs="宋体"/>
                <w:b/>
                <w:sz w:val="21"/>
                <w:szCs w:val="21"/>
              </w:rPr>
              <w:t>年份</w:t>
            </w:r>
          </w:p>
        </w:tc>
        <w:tc>
          <w:tcPr>
            <w:tcW w:w="1239" w:type="dxa"/>
            <w:vAlign w:val="center"/>
          </w:tcPr>
          <w:p>
            <w:pPr>
              <w:spacing w:line="500" w:lineRule="exact"/>
              <w:jc w:val="center"/>
              <w:rPr>
                <w:rFonts w:ascii="宋体" w:hAnsi="宋体" w:cs="宋体"/>
                <w:b/>
                <w:sz w:val="21"/>
                <w:szCs w:val="21"/>
              </w:rPr>
            </w:pPr>
            <w:r>
              <w:rPr>
                <w:rFonts w:hint="eastAsia" w:ascii="宋体" w:hAnsi="宋体" w:cs="宋体"/>
                <w:b/>
                <w:sz w:val="21"/>
                <w:szCs w:val="21"/>
              </w:rPr>
              <w:t>用户名称</w:t>
            </w:r>
          </w:p>
        </w:tc>
        <w:tc>
          <w:tcPr>
            <w:tcW w:w="1260" w:type="dxa"/>
            <w:vAlign w:val="center"/>
          </w:tcPr>
          <w:p>
            <w:pPr>
              <w:spacing w:line="500" w:lineRule="exact"/>
              <w:jc w:val="center"/>
              <w:rPr>
                <w:rFonts w:ascii="宋体" w:hAnsi="宋体" w:cs="宋体"/>
                <w:b/>
                <w:sz w:val="21"/>
                <w:szCs w:val="21"/>
              </w:rPr>
            </w:pPr>
            <w:r>
              <w:rPr>
                <w:rFonts w:hint="eastAsia" w:ascii="宋体" w:hAnsi="宋体" w:cs="宋体"/>
                <w:b/>
                <w:sz w:val="21"/>
                <w:szCs w:val="21"/>
              </w:rPr>
              <w:t>项目名称</w:t>
            </w:r>
          </w:p>
        </w:tc>
        <w:tc>
          <w:tcPr>
            <w:tcW w:w="1620" w:type="dxa"/>
            <w:vAlign w:val="center"/>
          </w:tcPr>
          <w:p>
            <w:pPr>
              <w:spacing w:line="500" w:lineRule="exact"/>
              <w:jc w:val="center"/>
              <w:rPr>
                <w:rFonts w:ascii="宋体" w:hAnsi="宋体" w:cs="宋体"/>
                <w:b/>
                <w:sz w:val="21"/>
                <w:szCs w:val="21"/>
              </w:rPr>
            </w:pPr>
            <w:r>
              <w:rPr>
                <w:rFonts w:hint="eastAsia" w:ascii="宋体" w:hAnsi="宋体" w:cs="宋体"/>
                <w:b/>
                <w:sz w:val="21"/>
                <w:szCs w:val="21"/>
              </w:rPr>
              <w:t>完成时间或在建</w:t>
            </w:r>
          </w:p>
        </w:tc>
        <w:tc>
          <w:tcPr>
            <w:tcW w:w="1620" w:type="dxa"/>
            <w:tcBorders>
              <w:right w:val="single" w:color="auto" w:sz="4" w:space="0"/>
            </w:tcBorders>
            <w:vAlign w:val="center"/>
          </w:tcPr>
          <w:p>
            <w:pPr>
              <w:spacing w:line="500" w:lineRule="exact"/>
              <w:jc w:val="center"/>
              <w:rPr>
                <w:rFonts w:ascii="宋体" w:hAnsi="宋体" w:cs="宋体"/>
                <w:b/>
                <w:sz w:val="21"/>
                <w:szCs w:val="21"/>
              </w:rPr>
            </w:pPr>
            <w:r>
              <w:rPr>
                <w:rFonts w:hint="eastAsia" w:ascii="宋体" w:hAnsi="宋体" w:cs="宋体"/>
                <w:b/>
                <w:sz w:val="21"/>
                <w:szCs w:val="21"/>
              </w:rPr>
              <w:t>完成项目质量</w:t>
            </w:r>
          </w:p>
        </w:tc>
        <w:tc>
          <w:tcPr>
            <w:tcW w:w="1341" w:type="dxa"/>
            <w:tcBorders>
              <w:left w:val="single" w:color="auto" w:sz="4" w:space="0"/>
            </w:tcBorders>
            <w:vAlign w:val="center"/>
          </w:tcPr>
          <w:p>
            <w:pPr>
              <w:spacing w:line="500" w:lineRule="exact"/>
              <w:jc w:val="center"/>
              <w:rPr>
                <w:rFonts w:ascii="宋体" w:hAnsi="宋体" w:cs="宋体"/>
                <w:b/>
                <w:sz w:val="21"/>
                <w:szCs w:val="21"/>
              </w:rPr>
            </w:pPr>
            <w:r>
              <w:rPr>
                <w:rFonts w:hint="eastAsia" w:ascii="宋体" w:hAnsi="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ascii="宋体" w:hAnsi="宋体" w:cs="宋体"/>
                <w:sz w:val="21"/>
                <w:szCs w:val="21"/>
              </w:rPr>
            </w:pPr>
          </w:p>
        </w:tc>
        <w:tc>
          <w:tcPr>
            <w:tcW w:w="1239" w:type="dxa"/>
            <w:vAlign w:val="center"/>
          </w:tcPr>
          <w:p>
            <w:pPr>
              <w:spacing w:line="500" w:lineRule="exact"/>
              <w:jc w:val="center"/>
              <w:rPr>
                <w:rFonts w:ascii="宋体" w:hAnsi="宋体" w:cs="宋体"/>
                <w:sz w:val="21"/>
                <w:szCs w:val="21"/>
              </w:rPr>
            </w:pPr>
          </w:p>
        </w:tc>
        <w:tc>
          <w:tcPr>
            <w:tcW w:w="1260" w:type="dxa"/>
            <w:vAlign w:val="center"/>
          </w:tcPr>
          <w:p>
            <w:pPr>
              <w:spacing w:line="500" w:lineRule="exact"/>
              <w:jc w:val="center"/>
              <w:rPr>
                <w:rFonts w:ascii="宋体" w:hAnsi="宋体" w:cs="宋体"/>
                <w:sz w:val="21"/>
                <w:szCs w:val="21"/>
              </w:rPr>
            </w:pPr>
          </w:p>
        </w:tc>
        <w:tc>
          <w:tcPr>
            <w:tcW w:w="1620" w:type="dxa"/>
            <w:vAlign w:val="center"/>
          </w:tcPr>
          <w:p>
            <w:pPr>
              <w:spacing w:line="500" w:lineRule="exact"/>
              <w:jc w:val="center"/>
              <w:rPr>
                <w:rFonts w:ascii="宋体" w:hAnsi="宋体" w:cs="宋体"/>
                <w:sz w:val="21"/>
                <w:szCs w:val="21"/>
              </w:rPr>
            </w:pPr>
          </w:p>
        </w:tc>
        <w:tc>
          <w:tcPr>
            <w:tcW w:w="1620" w:type="dxa"/>
            <w:tcBorders>
              <w:right w:val="single" w:color="auto" w:sz="4" w:space="0"/>
            </w:tcBorders>
            <w:vAlign w:val="center"/>
          </w:tcPr>
          <w:p>
            <w:pPr>
              <w:spacing w:line="500" w:lineRule="exact"/>
              <w:jc w:val="center"/>
              <w:rPr>
                <w:rFonts w:ascii="宋体" w:hAnsi="宋体" w:cs="宋体"/>
                <w:sz w:val="21"/>
                <w:szCs w:val="21"/>
              </w:rPr>
            </w:pPr>
          </w:p>
        </w:tc>
        <w:tc>
          <w:tcPr>
            <w:tcW w:w="1341" w:type="dxa"/>
            <w:tcBorders>
              <w:left w:val="single" w:color="auto" w:sz="4" w:space="0"/>
            </w:tcBorders>
            <w:vAlign w:val="center"/>
          </w:tcPr>
          <w:p>
            <w:pPr>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ascii="宋体" w:hAnsi="宋体" w:cs="宋体"/>
                <w:sz w:val="21"/>
                <w:szCs w:val="21"/>
              </w:rPr>
            </w:pPr>
          </w:p>
        </w:tc>
        <w:tc>
          <w:tcPr>
            <w:tcW w:w="1239" w:type="dxa"/>
            <w:vAlign w:val="center"/>
          </w:tcPr>
          <w:p>
            <w:pPr>
              <w:spacing w:line="500" w:lineRule="exact"/>
              <w:jc w:val="center"/>
              <w:rPr>
                <w:rFonts w:ascii="宋体" w:hAnsi="宋体" w:cs="宋体"/>
                <w:sz w:val="21"/>
                <w:szCs w:val="21"/>
              </w:rPr>
            </w:pPr>
          </w:p>
        </w:tc>
        <w:tc>
          <w:tcPr>
            <w:tcW w:w="1260" w:type="dxa"/>
            <w:vAlign w:val="center"/>
          </w:tcPr>
          <w:p>
            <w:pPr>
              <w:spacing w:line="500" w:lineRule="exact"/>
              <w:jc w:val="center"/>
              <w:rPr>
                <w:rFonts w:ascii="宋体" w:hAnsi="宋体" w:cs="宋体"/>
                <w:sz w:val="21"/>
                <w:szCs w:val="21"/>
              </w:rPr>
            </w:pPr>
          </w:p>
        </w:tc>
        <w:tc>
          <w:tcPr>
            <w:tcW w:w="1620" w:type="dxa"/>
            <w:vAlign w:val="center"/>
          </w:tcPr>
          <w:p>
            <w:pPr>
              <w:spacing w:line="500" w:lineRule="exact"/>
              <w:jc w:val="center"/>
              <w:rPr>
                <w:rFonts w:ascii="宋体" w:hAnsi="宋体" w:cs="宋体"/>
                <w:sz w:val="21"/>
                <w:szCs w:val="21"/>
              </w:rPr>
            </w:pPr>
          </w:p>
        </w:tc>
        <w:tc>
          <w:tcPr>
            <w:tcW w:w="1620" w:type="dxa"/>
            <w:tcBorders>
              <w:right w:val="single" w:color="auto" w:sz="4" w:space="0"/>
            </w:tcBorders>
            <w:vAlign w:val="center"/>
          </w:tcPr>
          <w:p>
            <w:pPr>
              <w:spacing w:line="500" w:lineRule="exact"/>
              <w:jc w:val="center"/>
              <w:rPr>
                <w:rFonts w:ascii="宋体" w:hAnsi="宋体" w:cs="宋体"/>
                <w:sz w:val="21"/>
                <w:szCs w:val="21"/>
              </w:rPr>
            </w:pPr>
          </w:p>
        </w:tc>
        <w:tc>
          <w:tcPr>
            <w:tcW w:w="1341" w:type="dxa"/>
            <w:tcBorders>
              <w:left w:val="single" w:color="auto" w:sz="4" w:space="0"/>
            </w:tcBorders>
            <w:vAlign w:val="center"/>
          </w:tcPr>
          <w:p>
            <w:pPr>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ascii="宋体" w:hAnsi="宋体" w:cs="宋体"/>
                <w:sz w:val="21"/>
                <w:szCs w:val="21"/>
              </w:rPr>
            </w:pPr>
          </w:p>
        </w:tc>
        <w:tc>
          <w:tcPr>
            <w:tcW w:w="1239" w:type="dxa"/>
            <w:vAlign w:val="center"/>
          </w:tcPr>
          <w:p>
            <w:pPr>
              <w:spacing w:line="500" w:lineRule="exact"/>
              <w:jc w:val="center"/>
              <w:rPr>
                <w:rFonts w:ascii="宋体" w:hAnsi="宋体" w:cs="宋体"/>
                <w:sz w:val="21"/>
                <w:szCs w:val="21"/>
              </w:rPr>
            </w:pPr>
          </w:p>
        </w:tc>
        <w:tc>
          <w:tcPr>
            <w:tcW w:w="1260" w:type="dxa"/>
            <w:vAlign w:val="center"/>
          </w:tcPr>
          <w:p>
            <w:pPr>
              <w:spacing w:line="500" w:lineRule="exact"/>
              <w:jc w:val="center"/>
              <w:rPr>
                <w:rFonts w:ascii="宋体" w:hAnsi="宋体" w:cs="宋体"/>
                <w:sz w:val="21"/>
                <w:szCs w:val="21"/>
              </w:rPr>
            </w:pPr>
          </w:p>
        </w:tc>
        <w:tc>
          <w:tcPr>
            <w:tcW w:w="1620" w:type="dxa"/>
            <w:vAlign w:val="center"/>
          </w:tcPr>
          <w:p>
            <w:pPr>
              <w:spacing w:line="500" w:lineRule="exact"/>
              <w:jc w:val="center"/>
              <w:rPr>
                <w:rFonts w:ascii="宋体" w:hAnsi="宋体" w:cs="宋体"/>
                <w:sz w:val="21"/>
                <w:szCs w:val="21"/>
              </w:rPr>
            </w:pPr>
          </w:p>
        </w:tc>
        <w:tc>
          <w:tcPr>
            <w:tcW w:w="1620" w:type="dxa"/>
            <w:tcBorders>
              <w:right w:val="single" w:color="auto" w:sz="4" w:space="0"/>
            </w:tcBorders>
            <w:vAlign w:val="center"/>
          </w:tcPr>
          <w:p>
            <w:pPr>
              <w:spacing w:line="500" w:lineRule="exact"/>
              <w:jc w:val="center"/>
              <w:rPr>
                <w:rFonts w:ascii="宋体" w:hAnsi="宋体" w:cs="宋体"/>
                <w:sz w:val="21"/>
                <w:szCs w:val="21"/>
              </w:rPr>
            </w:pPr>
          </w:p>
        </w:tc>
        <w:tc>
          <w:tcPr>
            <w:tcW w:w="1341" w:type="dxa"/>
            <w:tcBorders>
              <w:left w:val="single" w:color="auto" w:sz="4" w:space="0"/>
            </w:tcBorders>
            <w:vAlign w:val="center"/>
          </w:tcPr>
          <w:p>
            <w:pPr>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ascii="宋体" w:hAnsi="宋体" w:cs="宋体"/>
                <w:sz w:val="21"/>
                <w:szCs w:val="21"/>
              </w:rPr>
            </w:pPr>
          </w:p>
        </w:tc>
        <w:tc>
          <w:tcPr>
            <w:tcW w:w="1239" w:type="dxa"/>
            <w:tcBorders>
              <w:right w:val="single" w:color="auto" w:sz="4" w:space="0"/>
            </w:tcBorders>
            <w:vAlign w:val="center"/>
          </w:tcPr>
          <w:p>
            <w:pPr>
              <w:spacing w:line="500" w:lineRule="exact"/>
              <w:jc w:val="center"/>
              <w:rPr>
                <w:rFonts w:ascii="宋体" w:hAnsi="宋体" w:cs="宋体"/>
                <w:sz w:val="21"/>
                <w:szCs w:val="21"/>
              </w:rPr>
            </w:pPr>
          </w:p>
        </w:tc>
        <w:tc>
          <w:tcPr>
            <w:tcW w:w="1260" w:type="dxa"/>
            <w:tcBorders>
              <w:left w:val="single" w:color="auto" w:sz="4" w:space="0"/>
            </w:tcBorders>
            <w:vAlign w:val="center"/>
          </w:tcPr>
          <w:p>
            <w:pPr>
              <w:spacing w:line="500" w:lineRule="exact"/>
              <w:jc w:val="center"/>
              <w:rPr>
                <w:rFonts w:ascii="宋体" w:hAnsi="宋体" w:cs="宋体"/>
                <w:sz w:val="21"/>
                <w:szCs w:val="21"/>
              </w:rPr>
            </w:pPr>
          </w:p>
        </w:tc>
        <w:tc>
          <w:tcPr>
            <w:tcW w:w="1620" w:type="dxa"/>
            <w:vAlign w:val="center"/>
          </w:tcPr>
          <w:p>
            <w:pPr>
              <w:spacing w:line="500" w:lineRule="exact"/>
              <w:jc w:val="center"/>
              <w:rPr>
                <w:rFonts w:ascii="宋体" w:hAnsi="宋体" w:cs="宋体"/>
                <w:sz w:val="21"/>
                <w:szCs w:val="21"/>
              </w:rPr>
            </w:pPr>
          </w:p>
        </w:tc>
        <w:tc>
          <w:tcPr>
            <w:tcW w:w="1620" w:type="dxa"/>
            <w:tcBorders>
              <w:right w:val="single" w:color="auto" w:sz="4" w:space="0"/>
            </w:tcBorders>
            <w:vAlign w:val="center"/>
          </w:tcPr>
          <w:p>
            <w:pPr>
              <w:spacing w:line="500" w:lineRule="exact"/>
              <w:jc w:val="center"/>
              <w:rPr>
                <w:rFonts w:ascii="宋体" w:hAnsi="宋体" w:cs="宋体"/>
                <w:sz w:val="21"/>
                <w:szCs w:val="21"/>
              </w:rPr>
            </w:pPr>
          </w:p>
        </w:tc>
        <w:tc>
          <w:tcPr>
            <w:tcW w:w="1341" w:type="dxa"/>
            <w:tcBorders>
              <w:left w:val="single" w:color="auto" w:sz="4" w:space="0"/>
            </w:tcBorders>
            <w:vAlign w:val="center"/>
          </w:tcPr>
          <w:p>
            <w:pPr>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pPr>
              <w:spacing w:line="500" w:lineRule="exact"/>
              <w:jc w:val="center"/>
              <w:rPr>
                <w:rFonts w:ascii="宋体" w:hAnsi="宋体" w:cs="宋体"/>
                <w:sz w:val="21"/>
                <w:szCs w:val="21"/>
              </w:rPr>
            </w:pPr>
          </w:p>
        </w:tc>
        <w:tc>
          <w:tcPr>
            <w:tcW w:w="1239" w:type="dxa"/>
            <w:tcBorders>
              <w:left w:val="single" w:color="auto" w:sz="4" w:space="0"/>
              <w:right w:val="single" w:color="auto" w:sz="4" w:space="0"/>
            </w:tcBorders>
            <w:vAlign w:val="center"/>
          </w:tcPr>
          <w:p>
            <w:pPr>
              <w:spacing w:line="500" w:lineRule="exact"/>
              <w:jc w:val="center"/>
              <w:rPr>
                <w:rFonts w:ascii="宋体" w:hAnsi="宋体" w:cs="宋体"/>
                <w:sz w:val="21"/>
                <w:szCs w:val="21"/>
              </w:rPr>
            </w:pPr>
          </w:p>
        </w:tc>
        <w:tc>
          <w:tcPr>
            <w:tcW w:w="1260" w:type="dxa"/>
            <w:tcBorders>
              <w:left w:val="single" w:color="auto" w:sz="4" w:space="0"/>
              <w:right w:val="single" w:color="auto" w:sz="4" w:space="0"/>
            </w:tcBorders>
            <w:vAlign w:val="center"/>
          </w:tcPr>
          <w:p>
            <w:pPr>
              <w:spacing w:line="500" w:lineRule="exact"/>
              <w:jc w:val="center"/>
              <w:rPr>
                <w:rFonts w:ascii="宋体" w:hAnsi="宋体" w:cs="宋体"/>
                <w:sz w:val="21"/>
                <w:szCs w:val="21"/>
              </w:rPr>
            </w:pPr>
          </w:p>
        </w:tc>
        <w:tc>
          <w:tcPr>
            <w:tcW w:w="1620" w:type="dxa"/>
            <w:tcBorders>
              <w:left w:val="single" w:color="auto" w:sz="4" w:space="0"/>
              <w:right w:val="single" w:color="auto" w:sz="4" w:space="0"/>
            </w:tcBorders>
            <w:vAlign w:val="center"/>
          </w:tcPr>
          <w:p>
            <w:pPr>
              <w:spacing w:line="500" w:lineRule="exact"/>
              <w:jc w:val="center"/>
              <w:rPr>
                <w:rFonts w:ascii="宋体" w:hAnsi="宋体" w:cs="宋体"/>
                <w:sz w:val="21"/>
                <w:szCs w:val="21"/>
              </w:rPr>
            </w:pPr>
          </w:p>
        </w:tc>
        <w:tc>
          <w:tcPr>
            <w:tcW w:w="1620" w:type="dxa"/>
            <w:tcBorders>
              <w:left w:val="single" w:color="auto" w:sz="4" w:space="0"/>
              <w:right w:val="single" w:color="auto" w:sz="4" w:space="0"/>
            </w:tcBorders>
            <w:vAlign w:val="center"/>
          </w:tcPr>
          <w:p>
            <w:pPr>
              <w:spacing w:line="500" w:lineRule="exact"/>
              <w:jc w:val="center"/>
              <w:rPr>
                <w:rFonts w:ascii="宋体" w:hAnsi="宋体" w:cs="宋体"/>
                <w:sz w:val="21"/>
                <w:szCs w:val="21"/>
              </w:rPr>
            </w:pPr>
          </w:p>
        </w:tc>
        <w:tc>
          <w:tcPr>
            <w:tcW w:w="1341" w:type="dxa"/>
            <w:tcBorders>
              <w:left w:val="single" w:color="auto" w:sz="4" w:space="0"/>
            </w:tcBorders>
            <w:vAlign w:val="center"/>
          </w:tcPr>
          <w:p>
            <w:pPr>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ascii="宋体" w:hAnsi="宋体" w:cs="宋体"/>
                <w:sz w:val="21"/>
                <w:szCs w:val="21"/>
              </w:rPr>
            </w:pPr>
          </w:p>
        </w:tc>
        <w:tc>
          <w:tcPr>
            <w:tcW w:w="1239" w:type="dxa"/>
            <w:vAlign w:val="center"/>
          </w:tcPr>
          <w:p>
            <w:pPr>
              <w:spacing w:line="500" w:lineRule="exact"/>
              <w:jc w:val="center"/>
              <w:rPr>
                <w:rFonts w:ascii="宋体" w:hAnsi="宋体" w:cs="宋体"/>
                <w:sz w:val="21"/>
                <w:szCs w:val="21"/>
              </w:rPr>
            </w:pPr>
          </w:p>
        </w:tc>
        <w:tc>
          <w:tcPr>
            <w:tcW w:w="1260" w:type="dxa"/>
            <w:vAlign w:val="center"/>
          </w:tcPr>
          <w:p>
            <w:pPr>
              <w:spacing w:line="500" w:lineRule="exact"/>
              <w:jc w:val="center"/>
              <w:rPr>
                <w:rFonts w:ascii="宋体" w:hAnsi="宋体" w:cs="宋体"/>
                <w:sz w:val="21"/>
                <w:szCs w:val="21"/>
              </w:rPr>
            </w:pPr>
          </w:p>
        </w:tc>
        <w:tc>
          <w:tcPr>
            <w:tcW w:w="1620" w:type="dxa"/>
            <w:vAlign w:val="center"/>
          </w:tcPr>
          <w:p>
            <w:pPr>
              <w:spacing w:line="500" w:lineRule="exact"/>
              <w:jc w:val="center"/>
              <w:rPr>
                <w:rFonts w:ascii="宋体" w:hAnsi="宋体" w:cs="宋体"/>
                <w:sz w:val="21"/>
                <w:szCs w:val="21"/>
              </w:rPr>
            </w:pPr>
          </w:p>
        </w:tc>
        <w:tc>
          <w:tcPr>
            <w:tcW w:w="1620" w:type="dxa"/>
            <w:tcBorders>
              <w:left w:val="single" w:color="auto" w:sz="4" w:space="0"/>
              <w:right w:val="single" w:color="auto" w:sz="4" w:space="0"/>
            </w:tcBorders>
            <w:vAlign w:val="center"/>
          </w:tcPr>
          <w:p>
            <w:pPr>
              <w:spacing w:line="500" w:lineRule="exact"/>
              <w:jc w:val="center"/>
              <w:rPr>
                <w:rFonts w:ascii="宋体" w:hAnsi="宋体" w:cs="宋体"/>
                <w:sz w:val="21"/>
                <w:szCs w:val="21"/>
              </w:rPr>
            </w:pPr>
          </w:p>
        </w:tc>
        <w:tc>
          <w:tcPr>
            <w:tcW w:w="1341" w:type="dxa"/>
            <w:tcBorders>
              <w:left w:val="single" w:color="auto" w:sz="4" w:space="0"/>
            </w:tcBorders>
            <w:vAlign w:val="center"/>
          </w:tcPr>
          <w:p>
            <w:pPr>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ascii="宋体" w:hAnsi="宋体" w:cs="宋体"/>
                <w:sz w:val="21"/>
                <w:szCs w:val="21"/>
              </w:rPr>
            </w:pPr>
          </w:p>
        </w:tc>
        <w:tc>
          <w:tcPr>
            <w:tcW w:w="1239" w:type="dxa"/>
            <w:vAlign w:val="center"/>
          </w:tcPr>
          <w:p>
            <w:pPr>
              <w:spacing w:line="500" w:lineRule="exact"/>
              <w:jc w:val="center"/>
              <w:rPr>
                <w:rFonts w:ascii="宋体" w:hAnsi="宋体" w:cs="宋体"/>
                <w:sz w:val="21"/>
                <w:szCs w:val="21"/>
              </w:rPr>
            </w:pPr>
          </w:p>
        </w:tc>
        <w:tc>
          <w:tcPr>
            <w:tcW w:w="1260" w:type="dxa"/>
            <w:vAlign w:val="center"/>
          </w:tcPr>
          <w:p>
            <w:pPr>
              <w:spacing w:line="500" w:lineRule="exact"/>
              <w:jc w:val="center"/>
              <w:rPr>
                <w:rFonts w:ascii="宋体" w:hAnsi="宋体" w:cs="宋体"/>
                <w:sz w:val="21"/>
                <w:szCs w:val="21"/>
              </w:rPr>
            </w:pPr>
          </w:p>
        </w:tc>
        <w:tc>
          <w:tcPr>
            <w:tcW w:w="1620" w:type="dxa"/>
            <w:vAlign w:val="center"/>
          </w:tcPr>
          <w:p>
            <w:pPr>
              <w:spacing w:line="500" w:lineRule="exact"/>
              <w:jc w:val="center"/>
              <w:rPr>
                <w:rFonts w:ascii="宋体" w:hAnsi="宋体" w:cs="宋体"/>
                <w:sz w:val="21"/>
                <w:szCs w:val="21"/>
              </w:rPr>
            </w:pPr>
          </w:p>
        </w:tc>
        <w:tc>
          <w:tcPr>
            <w:tcW w:w="1620" w:type="dxa"/>
            <w:tcBorders>
              <w:left w:val="single" w:color="auto" w:sz="4" w:space="0"/>
              <w:right w:val="single" w:color="auto" w:sz="4" w:space="0"/>
            </w:tcBorders>
            <w:vAlign w:val="center"/>
          </w:tcPr>
          <w:p>
            <w:pPr>
              <w:spacing w:line="500" w:lineRule="exact"/>
              <w:jc w:val="center"/>
              <w:rPr>
                <w:rFonts w:ascii="宋体" w:hAnsi="宋体" w:cs="宋体"/>
                <w:sz w:val="21"/>
                <w:szCs w:val="21"/>
              </w:rPr>
            </w:pPr>
          </w:p>
        </w:tc>
        <w:tc>
          <w:tcPr>
            <w:tcW w:w="1341" w:type="dxa"/>
            <w:tcBorders>
              <w:left w:val="single" w:color="auto" w:sz="4" w:space="0"/>
            </w:tcBorders>
            <w:vAlign w:val="center"/>
          </w:tcPr>
          <w:p>
            <w:pPr>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ascii="宋体" w:hAnsi="宋体" w:cs="宋体"/>
                <w:sz w:val="21"/>
                <w:szCs w:val="21"/>
              </w:rPr>
            </w:pPr>
          </w:p>
        </w:tc>
        <w:tc>
          <w:tcPr>
            <w:tcW w:w="1239" w:type="dxa"/>
            <w:vAlign w:val="center"/>
          </w:tcPr>
          <w:p>
            <w:pPr>
              <w:spacing w:line="500" w:lineRule="exact"/>
              <w:jc w:val="center"/>
              <w:rPr>
                <w:rFonts w:ascii="宋体" w:hAnsi="宋体" w:cs="宋体"/>
                <w:sz w:val="21"/>
                <w:szCs w:val="21"/>
              </w:rPr>
            </w:pPr>
          </w:p>
        </w:tc>
        <w:tc>
          <w:tcPr>
            <w:tcW w:w="1260" w:type="dxa"/>
            <w:vAlign w:val="center"/>
          </w:tcPr>
          <w:p>
            <w:pPr>
              <w:spacing w:line="500" w:lineRule="exact"/>
              <w:jc w:val="center"/>
              <w:rPr>
                <w:rFonts w:ascii="宋体" w:hAnsi="宋体" w:cs="宋体"/>
                <w:sz w:val="21"/>
                <w:szCs w:val="21"/>
              </w:rPr>
            </w:pPr>
          </w:p>
        </w:tc>
        <w:tc>
          <w:tcPr>
            <w:tcW w:w="1620" w:type="dxa"/>
            <w:vAlign w:val="center"/>
          </w:tcPr>
          <w:p>
            <w:pPr>
              <w:spacing w:line="500" w:lineRule="exact"/>
              <w:jc w:val="center"/>
              <w:rPr>
                <w:rFonts w:ascii="宋体" w:hAnsi="宋体" w:cs="宋体"/>
                <w:sz w:val="21"/>
                <w:szCs w:val="21"/>
              </w:rPr>
            </w:pPr>
          </w:p>
        </w:tc>
        <w:tc>
          <w:tcPr>
            <w:tcW w:w="1620" w:type="dxa"/>
            <w:tcBorders>
              <w:left w:val="single" w:color="auto" w:sz="4" w:space="0"/>
              <w:right w:val="single" w:color="auto" w:sz="4" w:space="0"/>
            </w:tcBorders>
            <w:vAlign w:val="center"/>
          </w:tcPr>
          <w:p>
            <w:pPr>
              <w:spacing w:line="500" w:lineRule="exact"/>
              <w:jc w:val="center"/>
              <w:rPr>
                <w:rFonts w:ascii="宋体" w:hAnsi="宋体" w:cs="宋体"/>
                <w:sz w:val="21"/>
                <w:szCs w:val="21"/>
              </w:rPr>
            </w:pPr>
          </w:p>
        </w:tc>
        <w:tc>
          <w:tcPr>
            <w:tcW w:w="1341" w:type="dxa"/>
            <w:tcBorders>
              <w:left w:val="single" w:color="auto" w:sz="4" w:space="0"/>
            </w:tcBorders>
            <w:vAlign w:val="center"/>
          </w:tcPr>
          <w:p>
            <w:pPr>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pPr>
              <w:spacing w:line="500" w:lineRule="exact"/>
              <w:jc w:val="center"/>
              <w:rPr>
                <w:rFonts w:ascii="宋体" w:hAnsi="宋体" w:cs="宋体"/>
                <w:sz w:val="21"/>
                <w:szCs w:val="21"/>
              </w:rPr>
            </w:pPr>
          </w:p>
        </w:tc>
        <w:tc>
          <w:tcPr>
            <w:tcW w:w="1239" w:type="dxa"/>
            <w:tcBorders>
              <w:bottom w:val="single" w:color="auto" w:sz="4" w:space="0"/>
            </w:tcBorders>
            <w:vAlign w:val="center"/>
          </w:tcPr>
          <w:p>
            <w:pPr>
              <w:spacing w:line="500" w:lineRule="exact"/>
              <w:jc w:val="center"/>
              <w:rPr>
                <w:rFonts w:ascii="宋体" w:hAnsi="宋体" w:cs="宋体"/>
                <w:sz w:val="21"/>
                <w:szCs w:val="21"/>
              </w:rPr>
            </w:pPr>
          </w:p>
        </w:tc>
        <w:tc>
          <w:tcPr>
            <w:tcW w:w="1260" w:type="dxa"/>
            <w:tcBorders>
              <w:bottom w:val="single" w:color="auto" w:sz="4" w:space="0"/>
            </w:tcBorders>
            <w:vAlign w:val="center"/>
          </w:tcPr>
          <w:p>
            <w:pPr>
              <w:spacing w:line="500" w:lineRule="exact"/>
              <w:jc w:val="center"/>
              <w:rPr>
                <w:rFonts w:ascii="宋体" w:hAnsi="宋体" w:cs="宋体"/>
                <w:sz w:val="21"/>
                <w:szCs w:val="21"/>
              </w:rPr>
            </w:pPr>
          </w:p>
        </w:tc>
        <w:tc>
          <w:tcPr>
            <w:tcW w:w="1620" w:type="dxa"/>
            <w:tcBorders>
              <w:bottom w:val="single" w:color="auto" w:sz="4" w:space="0"/>
            </w:tcBorders>
            <w:vAlign w:val="center"/>
          </w:tcPr>
          <w:p>
            <w:pPr>
              <w:spacing w:line="500" w:lineRule="exact"/>
              <w:jc w:val="center"/>
              <w:rPr>
                <w:rFonts w:ascii="宋体" w:hAnsi="宋体" w:cs="宋体"/>
                <w:sz w:val="21"/>
                <w:szCs w:val="21"/>
              </w:rPr>
            </w:pPr>
          </w:p>
        </w:tc>
        <w:tc>
          <w:tcPr>
            <w:tcW w:w="1620" w:type="dxa"/>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 w:val="21"/>
                <w:szCs w:val="21"/>
              </w:rPr>
            </w:pPr>
          </w:p>
        </w:tc>
        <w:tc>
          <w:tcPr>
            <w:tcW w:w="1341" w:type="dxa"/>
            <w:tcBorders>
              <w:left w:val="single" w:color="auto" w:sz="4" w:space="0"/>
              <w:bottom w:val="single" w:color="auto" w:sz="4" w:space="0"/>
            </w:tcBorders>
            <w:vAlign w:val="center"/>
          </w:tcPr>
          <w:p>
            <w:pPr>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pPr>
              <w:spacing w:line="500" w:lineRule="exact"/>
              <w:jc w:val="center"/>
              <w:rPr>
                <w:rFonts w:ascii="宋体" w:hAnsi="宋体" w:cs="宋体"/>
                <w:sz w:val="21"/>
                <w:szCs w:val="21"/>
              </w:rPr>
            </w:pPr>
          </w:p>
        </w:tc>
        <w:tc>
          <w:tcPr>
            <w:tcW w:w="1239" w:type="dxa"/>
            <w:tcBorders>
              <w:top w:val="single" w:color="auto" w:sz="4" w:space="0"/>
              <w:bottom w:val="single" w:color="auto" w:sz="4" w:space="0"/>
            </w:tcBorders>
            <w:vAlign w:val="center"/>
          </w:tcPr>
          <w:p>
            <w:pPr>
              <w:spacing w:line="500" w:lineRule="exact"/>
              <w:jc w:val="center"/>
              <w:rPr>
                <w:rFonts w:ascii="宋体" w:hAnsi="宋体" w:cs="宋体"/>
                <w:sz w:val="21"/>
                <w:szCs w:val="21"/>
              </w:rPr>
            </w:pPr>
          </w:p>
        </w:tc>
        <w:tc>
          <w:tcPr>
            <w:tcW w:w="1260" w:type="dxa"/>
            <w:tcBorders>
              <w:top w:val="single" w:color="auto" w:sz="4" w:space="0"/>
              <w:bottom w:val="single" w:color="auto" w:sz="4" w:space="0"/>
            </w:tcBorders>
            <w:vAlign w:val="center"/>
          </w:tcPr>
          <w:p>
            <w:pPr>
              <w:spacing w:line="500" w:lineRule="exact"/>
              <w:jc w:val="center"/>
              <w:rPr>
                <w:rFonts w:ascii="宋体" w:hAnsi="宋体" w:cs="宋体"/>
                <w:sz w:val="21"/>
                <w:szCs w:val="21"/>
              </w:rPr>
            </w:pPr>
          </w:p>
        </w:tc>
        <w:tc>
          <w:tcPr>
            <w:tcW w:w="1620" w:type="dxa"/>
            <w:tcBorders>
              <w:top w:val="single" w:color="auto" w:sz="4" w:space="0"/>
              <w:bottom w:val="single" w:color="auto" w:sz="4" w:space="0"/>
            </w:tcBorders>
            <w:vAlign w:val="center"/>
          </w:tcPr>
          <w:p>
            <w:pPr>
              <w:spacing w:line="500" w:lineRule="exact"/>
              <w:jc w:val="center"/>
              <w:rPr>
                <w:rFonts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pPr>
              <w:spacing w:line="500" w:lineRule="exact"/>
              <w:jc w:val="center"/>
              <w:rPr>
                <w:rFonts w:ascii="宋体" w:hAnsi="宋体" w:cs="宋体"/>
                <w:sz w:val="21"/>
                <w:szCs w:val="21"/>
              </w:rPr>
            </w:pPr>
          </w:p>
        </w:tc>
        <w:tc>
          <w:tcPr>
            <w:tcW w:w="1239" w:type="dxa"/>
            <w:tcBorders>
              <w:top w:val="single" w:color="auto" w:sz="4" w:space="0"/>
              <w:bottom w:val="single" w:color="auto" w:sz="4" w:space="0"/>
            </w:tcBorders>
            <w:vAlign w:val="center"/>
          </w:tcPr>
          <w:p>
            <w:pPr>
              <w:spacing w:line="500" w:lineRule="exact"/>
              <w:jc w:val="center"/>
              <w:rPr>
                <w:rFonts w:ascii="宋体" w:hAnsi="宋体" w:cs="宋体"/>
                <w:sz w:val="21"/>
                <w:szCs w:val="21"/>
              </w:rPr>
            </w:pPr>
          </w:p>
        </w:tc>
        <w:tc>
          <w:tcPr>
            <w:tcW w:w="1260" w:type="dxa"/>
            <w:tcBorders>
              <w:top w:val="single" w:color="auto" w:sz="4" w:space="0"/>
              <w:bottom w:val="single" w:color="auto" w:sz="4" w:space="0"/>
            </w:tcBorders>
            <w:vAlign w:val="center"/>
          </w:tcPr>
          <w:p>
            <w:pPr>
              <w:spacing w:line="500" w:lineRule="exact"/>
              <w:jc w:val="center"/>
              <w:rPr>
                <w:rFonts w:ascii="宋体" w:hAnsi="宋体" w:cs="宋体"/>
                <w:sz w:val="21"/>
                <w:szCs w:val="21"/>
              </w:rPr>
            </w:pPr>
          </w:p>
        </w:tc>
        <w:tc>
          <w:tcPr>
            <w:tcW w:w="1620" w:type="dxa"/>
            <w:tcBorders>
              <w:top w:val="single" w:color="auto" w:sz="4" w:space="0"/>
              <w:bottom w:val="single" w:color="auto" w:sz="4" w:space="0"/>
            </w:tcBorders>
            <w:vAlign w:val="center"/>
          </w:tcPr>
          <w:p>
            <w:pPr>
              <w:spacing w:line="500" w:lineRule="exact"/>
              <w:jc w:val="center"/>
              <w:rPr>
                <w:rFonts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pPr>
              <w:spacing w:line="500" w:lineRule="exact"/>
              <w:jc w:val="center"/>
              <w:rPr>
                <w:rFonts w:ascii="宋体" w:hAnsi="宋体" w:cs="宋体"/>
                <w:sz w:val="21"/>
                <w:szCs w:val="21"/>
              </w:rPr>
            </w:pPr>
          </w:p>
        </w:tc>
        <w:tc>
          <w:tcPr>
            <w:tcW w:w="1239" w:type="dxa"/>
            <w:tcBorders>
              <w:top w:val="single" w:color="auto" w:sz="4" w:space="0"/>
              <w:bottom w:val="single" w:color="auto" w:sz="4" w:space="0"/>
            </w:tcBorders>
            <w:vAlign w:val="center"/>
          </w:tcPr>
          <w:p>
            <w:pPr>
              <w:spacing w:line="500" w:lineRule="exact"/>
              <w:jc w:val="center"/>
              <w:rPr>
                <w:rFonts w:ascii="宋体" w:hAnsi="宋体" w:cs="宋体"/>
                <w:sz w:val="21"/>
                <w:szCs w:val="21"/>
              </w:rPr>
            </w:pPr>
          </w:p>
        </w:tc>
        <w:tc>
          <w:tcPr>
            <w:tcW w:w="1260" w:type="dxa"/>
            <w:tcBorders>
              <w:top w:val="single" w:color="auto" w:sz="4" w:space="0"/>
              <w:bottom w:val="single" w:color="auto" w:sz="4" w:space="0"/>
            </w:tcBorders>
            <w:vAlign w:val="center"/>
          </w:tcPr>
          <w:p>
            <w:pPr>
              <w:spacing w:line="500" w:lineRule="exact"/>
              <w:jc w:val="center"/>
              <w:rPr>
                <w:rFonts w:ascii="宋体" w:hAnsi="宋体" w:cs="宋体"/>
                <w:sz w:val="21"/>
                <w:szCs w:val="21"/>
              </w:rPr>
            </w:pPr>
          </w:p>
        </w:tc>
        <w:tc>
          <w:tcPr>
            <w:tcW w:w="1620" w:type="dxa"/>
            <w:tcBorders>
              <w:top w:val="single" w:color="auto" w:sz="4" w:space="0"/>
              <w:bottom w:val="single" w:color="auto" w:sz="4" w:space="0"/>
            </w:tcBorders>
            <w:vAlign w:val="center"/>
          </w:tcPr>
          <w:p>
            <w:pPr>
              <w:spacing w:line="500" w:lineRule="exact"/>
              <w:jc w:val="center"/>
              <w:rPr>
                <w:rFonts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pPr>
              <w:spacing w:line="500" w:lineRule="exact"/>
              <w:jc w:val="center"/>
              <w:rPr>
                <w:rFonts w:ascii="宋体" w:hAnsi="宋体" w:cs="宋体"/>
                <w:sz w:val="21"/>
                <w:szCs w:val="21"/>
              </w:rPr>
            </w:pPr>
          </w:p>
        </w:tc>
        <w:tc>
          <w:tcPr>
            <w:tcW w:w="1239" w:type="dxa"/>
            <w:tcBorders>
              <w:top w:val="single" w:color="auto" w:sz="4" w:space="0"/>
            </w:tcBorders>
            <w:vAlign w:val="center"/>
          </w:tcPr>
          <w:p>
            <w:pPr>
              <w:spacing w:line="500" w:lineRule="exact"/>
              <w:jc w:val="center"/>
              <w:rPr>
                <w:rFonts w:ascii="宋体" w:hAnsi="宋体" w:cs="宋体"/>
                <w:sz w:val="21"/>
                <w:szCs w:val="21"/>
              </w:rPr>
            </w:pPr>
          </w:p>
        </w:tc>
        <w:tc>
          <w:tcPr>
            <w:tcW w:w="1260" w:type="dxa"/>
            <w:tcBorders>
              <w:top w:val="single" w:color="auto" w:sz="4" w:space="0"/>
            </w:tcBorders>
            <w:vAlign w:val="center"/>
          </w:tcPr>
          <w:p>
            <w:pPr>
              <w:spacing w:line="500" w:lineRule="exact"/>
              <w:jc w:val="center"/>
              <w:rPr>
                <w:rFonts w:ascii="宋体" w:hAnsi="宋体" w:cs="宋体"/>
                <w:sz w:val="21"/>
                <w:szCs w:val="21"/>
              </w:rPr>
            </w:pPr>
          </w:p>
        </w:tc>
        <w:tc>
          <w:tcPr>
            <w:tcW w:w="1620" w:type="dxa"/>
            <w:tcBorders>
              <w:top w:val="single" w:color="auto" w:sz="4" w:space="0"/>
            </w:tcBorders>
            <w:vAlign w:val="center"/>
          </w:tcPr>
          <w:p>
            <w:pPr>
              <w:spacing w:line="500" w:lineRule="exact"/>
              <w:jc w:val="center"/>
              <w:rPr>
                <w:rFonts w:ascii="宋体" w:hAnsi="宋体" w:cs="宋体"/>
                <w:sz w:val="21"/>
                <w:szCs w:val="21"/>
              </w:rPr>
            </w:pPr>
          </w:p>
        </w:tc>
        <w:tc>
          <w:tcPr>
            <w:tcW w:w="1620" w:type="dxa"/>
            <w:tcBorders>
              <w:top w:val="single" w:color="auto" w:sz="4" w:space="0"/>
              <w:left w:val="single" w:color="auto" w:sz="4" w:space="0"/>
              <w:right w:val="single" w:color="auto" w:sz="4" w:space="0"/>
            </w:tcBorders>
            <w:vAlign w:val="center"/>
          </w:tcPr>
          <w:p>
            <w:pPr>
              <w:spacing w:line="500" w:lineRule="exact"/>
              <w:jc w:val="center"/>
              <w:rPr>
                <w:rFonts w:ascii="宋体" w:hAnsi="宋体" w:cs="宋体"/>
                <w:sz w:val="21"/>
                <w:szCs w:val="21"/>
              </w:rPr>
            </w:pPr>
          </w:p>
        </w:tc>
        <w:tc>
          <w:tcPr>
            <w:tcW w:w="1341" w:type="dxa"/>
            <w:tcBorders>
              <w:top w:val="single" w:color="auto" w:sz="4" w:space="0"/>
              <w:left w:val="single" w:color="auto" w:sz="4" w:space="0"/>
            </w:tcBorders>
            <w:vAlign w:val="center"/>
          </w:tcPr>
          <w:p>
            <w:pPr>
              <w:spacing w:line="500" w:lineRule="exact"/>
              <w:jc w:val="center"/>
              <w:rPr>
                <w:rFonts w:ascii="宋体" w:hAnsi="宋体" w:cs="宋体"/>
                <w:sz w:val="21"/>
                <w:szCs w:val="21"/>
              </w:rPr>
            </w:pPr>
          </w:p>
        </w:tc>
      </w:tr>
    </w:tbl>
    <w:p>
      <w:pPr>
        <w:spacing w:line="400" w:lineRule="exact"/>
        <w:rPr>
          <w:rFonts w:ascii="仿宋" w:hAnsi="仿宋" w:eastAsia="仿宋" w:cs="仿宋"/>
          <w:sz w:val="28"/>
          <w:szCs w:val="28"/>
        </w:rPr>
      </w:pPr>
      <w:r>
        <w:rPr>
          <w:rFonts w:hint="eastAsia" w:ascii="仿宋" w:hAnsi="仿宋" w:eastAsia="仿宋" w:cs="仿宋"/>
          <w:b/>
          <w:sz w:val="28"/>
          <w:szCs w:val="28"/>
        </w:rPr>
        <w:t>注：</w:t>
      </w:r>
      <w:r>
        <w:rPr>
          <w:rFonts w:hint="eastAsia" w:ascii="仿宋" w:hAnsi="仿宋" w:eastAsia="仿宋" w:cs="仿宋"/>
          <w:sz w:val="28"/>
          <w:szCs w:val="28"/>
        </w:rPr>
        <w:t>投标人以上业绩需提供有关书面证明材料。</w:t>
      </w:r>
    </w:p>
    <w:p>
      <w:pPr>
        <w:spacing w:line="400" w:lineRule="exact"/>
        <w:ind w:firstLine="210" w:firstLineChars="75"/>
        <w:rPr>
          <w:rFonts w:ascii="仿宋" w:hAnsi="仿宋" w:eastAsia="仿宋" w:cs="仿宋"/>
          <w:sz w:val="28"/>
          <w:szCs w:val="28"/>
        </w:rPr>
      </w:pPr>
    </w:p>
    <w:p>
      <w:pPr>
        <w:spacing w:line="400" w:lineRule="exact"/>
        <w:ind w:firstLine="210" w:firstLineChars="75"/>
        <w:rPr>
          <w:rFonts w:ascii="仿宋" w:hAnsi="仿宋" w:eastAsia="仿宋" w:cs="仿宋"/>
          <w:sz w:val="28"/>
          <w:szCs w:val="28"/>
        </w:rPr>
      </w:pPr>
    </w:p>
    <w:p>
      <w:pPr>
        <w:spacing w:line="360" w:lineRule="exact"/>
        <w:rPr>
          <w:rFonts w:ascii="仿宋" w:hAnsi="仿宋" w:eastAsia="仿宋" w:cs="仿宋"/>
          <w:sz w:val="28"/>
          <w:szCs w:val="28"/>
        </w:rPr>
      </w:pPr>
      <w:r>
        <w:rPr>
          <w:rFonts w:hint="eastAsia" w:ascii="仿宋" w:hAnsi="仿宋" w:eastAsia="仿宋" w:cs="仿宋"/>
          <w:sz w:val="28"/>
          <w:szCs w:val="28"/>
        </w:rPr>
        <w:t>投标人名称：         （盖章）</w:t>
      </w:r>
    </w:p>
    <w:p>
      <w:pPr>
        <w:spacing w:line="500" w:lineRule="exact"/>
        <w:rPr>
          <w:rFonts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bCs/>
          <w:sz w:val="28"/>
          <w:szCs w:val="28"/>
        </w:rPr>
        <w:t>：</w:t>
      </w:r>
    </w:p>
    <w:p>
      <w:pPr>
        <w:spacing w:line="500" w:lineRule="exact"/>
        <w:rPr>
          <w:rFonts w:asciiTheme="minorEastAsia" w:hAnsiTheme="minorEastAsia" w:eastAsiaTheme="minorEastAsia"/>
          <w:b/>
          <w:sz w:val="28"/>
          <w:szCs w:val="28"/>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sz w:val="28"/>
          <w:szCs w:val="28"/>
        </w:rPr>
        <w:t>投标日期:</w:t>
      </w:r>
    </w:p>
    <w:p>
      <w:pPr>
        <w:rPr>
          <w:rFonts w:asciiTheme="minorEastAsia" w:hAnsiTheme="minorEastAsia" w:eastAsiaTheme="minorEastAsia"/>
          <w:sz w:val="18"/>
          <w:szCs w:val="18"/>
        </w:rPr>
      </w:pPr>
    </w:p>
    <w:p>
      <w:pPr>
        <w:snapToGrid w:val="0"/>
        <w:spacing w:line="500" w:lineRule="exact"/>
        <w:ind w:firstLine="275" w:firstLineChars="98"/>
        <w:rPr>
          <w:rFonts w:ascii="仿宋" w:hAnsi="仿宋" w:eastAsia="仿宋" w:cs="仿宋"/>
          <w:b/>
          <w:sz w:val="28"/>
          <w:szCs w:val="28"/>
        </w:rPr>
      </w:pPr>
      <w:r>
        <w:rPr>
          <w:rFonts w:hint="eastAsia" w:ascii="仿宋" w:hAnsi="仿宋" w:eastAsia="仿宋" w:cs="仿宋"/>
          <w:b/>
          <w:sz w:val="28"/>
          <w:szCs w:val="28"/>
        </w:rPr>
        <w:t>八、近三年财务报表及审计报告</w:t>
      </w:r>
    </w:p>
    <w:p>
      <w:pPr>
        <w:widowControl/>
        <w:rPr>
          <w:rFonts w:ascii="仿宋" w:hAnsi="仿宋" w:eastAsia="仿宋" w:cs="仿宋"/>
          <w:b/>
          <w:bCs/>
          <w:kern w:val="0"/>
          <w:sz w:val="28"/>
          <w:szCs w:val="28"/>
        </w:rPr>
      </w:pPr>
    </w:p>
    <w:p>
      <w:pPr>
        <w:snapToGrid w:val="0"/>
        <w:spacing w:line="520" w:lineRule="exact"/>
        <w:ind w:left="481" w:leftChars="86" w:hanging="275" w:hangingChars="98"/>
        <w:rPr>
          <w:rFonts w:ascii="仿宋" w:hAnsi="仿宋" w:eastAsia="仿宋" w:cs="仿宋"/>
          <w:b/>
          <w:sz w:val="28"/>
          <w:szCs w:val="28"/>
        </w:rPr>
      </w:pPr>
      <w:r>
        <w:rPr>
          <w:rFonts w:hint="eastAsia" w:ascii="仿宋" w:hAnsi="仿宋" w:eastAsia="仿宋" w:cs="仿宋"/>
          <w:b/>
          <w:bCs/>
          <w:kern w:val="0"/>
          <w:sz w:val="28"/>
          <w:szCs w:val="28"/>
        </w:rPr>
        <w:t xml:space="preserve">（根据招标要求由投标人自行编写） </w:t>
      </w:r>
      <w:r>
        <w:rPr>
          <w:rFonts w:hint="eastAsia" w:asciiTheme="minorEastAsia" w:hAnsiTheme="minorEastAsia" w:eastAsiaTheme="minorEastAsia"/>
          <w:sz w:val="18"/>
          <w:szCs w:val="18"/>
        </w:rPr>
        <w:br w:type="page"/>
      </w:r>
      <w:r>
        <w:rPr>
          <w:rFonts w:hint="eastAsia" w:ascii="仿宋" w:hAnsi="仿宋" w:eastAsia="仿宋" w:cs="仿宋"/>
          <w:b/>
          <w:sz w:val="28"/>
          <w:szCs w:val="28"/>
        </w:rPr>
        <w:t>九、承诺函</w:t>
      </w:r>
    </w:p>
    <w:p>
      <w:pPr>
        <w:spacing w:line="520" w:lineRule="exact"/>
        <w:ind w:firstLine="420" w:firstLineChars="150"/>
        <w:rPr>
          <w:rFonts w:ascii="仿宋" w:hAnsi="仿宋" w:eastAsia="仿宋" w:cs="仿宋"/>
          <w:sz w:val="28"/>
          <w:szCs w:val="28"/>
        </w:rPr>
      </w:pPr>
      <w:r>
        <w:rPr>
          <w:rFonts w:hint="eastAsia" w:ascii="仿宋" w:hAnsi="仿宋" w:eastAsia="仿宋" w:cs="仿宋"/>
          <w:sz w:val="28"/>
          <w:szCs w:val="28"/>
        </w:rPr>
        <w:t>__________________（采购人）：</w:t>
      </w:r>
    </w:p>
    <w:p>
      <w:pPr>
        <w:spacing w:line="520" w:lineRule="exact"/>
        <w:rPr>
          <w:rFonts w:ascii="仿宋" w:hAnsi="仿宋" w:eastAsia="仿宋" w:cs="仿宋"/>
          <w:sz w:val="28"/>
          <w:szCs w:val="28"/>
        </w:rPr>
      </w:pPr>
    </w:p>
    <w:p>
      <w:pPr>
        <w:spacing w:line="520" w:lineRule="exact"/>
        <w:ind w:firstLine="420"/>
        <w:rPr>
          <w:rFonts w:ascii="仿宋" w:hAnsi="仿宋" w:eastAsia="仿宋" w:cs="仿宋"/>
          <w:sz w:val="28"/>
          <w:szCs w:val="28"/>
        </w:rPr>
      </w:pPr>
      <w:r>
        <w:rPr>
          <w:rFonts w:hint="eastAsia" w:ascii="仿宋" w:hAnsi="仿宋" w:eastAsia="仿宋" w:cs="仿宋"/>
          <w:sz w:val="28"/>
          <w:szCs w:val="28"/>
        </w:rPr>
        <w:t>本公司作为参加本次招标的供应商，郑重承诺具备以下条件：</w:t>
      </w:r>
    </w:p>
    <w:p>
      <w:pPr>
        <w:spacing w:line="520" w:lineRule="exact"/>
        <w:jc w:val="left"/>
        <w:rPr>
          <w:rFonts w:ascii="仿宋" w:hAnsi="仿宋" w:eastAsia="仿宋" w:cs="仿宋"/>
          <w:sz w:val="28"/>
          <w:szCs w:val="28"/>
        </w:rPr>
      </w:pPr>
      <w:r>
        <w:rPr>
          <w:rFonts w:hint="eastAsia" w:ascii="仿宋" w:hAnsi="仿宋" w:eastAsia="仿宋" w:cs="仿宋"/>
          <w:sz w:val="28"/>
          <w:szCs w:val="28"/>
        </w:rPr>
        <w:t xml:space="preserve">   1.投标方具有独立的法人资格；具有良好的企业财务状况，有提供优质服务、承担风险、履行合同的能力；在各地方工商网站有注册信息备案；提供企业近三年年财务报表、审计报告。</w:t>
      </w:r>
    </w:p>
    <w:p>
      <w:pPr>
        <w:spacing w:line="52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2.投标方具有</w:t>
      </w:r>
      <w:r>
        <w:rPr>
          <w:rFonts w:ascii="仿宋" w:hAnsi="仿宋" w:eastAsia="仿宋" w:cs="仿宋"/>
          <w:sz w:val="28"/>
          <w:szCs w:val="28"/>
          <w:highlight w:val="none"/>
        </w:rPr>
        <w:t>4</w:t>
      </w:r>
      <w:r>
        <w:rPr>
          <w:rFonts w:hint="eastAsia" w:ascii="仿宋" w:hAnsi="仿宋" w:eastAsia="仿宋" w:cs="仿宋"/>
          <w:sz w:val="28"/>
          <w:szCs w:val="28"/>
          <w:highlight w:val="none"/>
        </w:rPr>
        <w:t>年（含）以上的经营时间，能提供原厂2018年1月1日至今类似项目履约能力证明材料。</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3.本采购项目不得以任何方式转包或分包给其他经营者。投标单位必须与签订合同和付款对象的名称一致。</w:t>
      </w:r>
    </w:p>
    <w:p>
      <w:pPr>
        <w:spacing w:line="520" w:lineRule="exact"/>
        <w:rPr>
          <w:rFonts w:ascii="仿宋" w:hAnsi="仿宋" w:eastAsia="仿宋" w:cs="仿宋"/>
          <w:sz w:val="28"/>
          <w:szCs w:val="28"/>
        </w:rPr>
      </w:pPr>
    </w:p>
    <w:p>
      <w:pPr>
        <w:spacing w:line="520" w:lineRule="exact"/>
        <w:rPr>
          <w:rFonts w:ascii="仿宋" w:hAnsi="仿宋" w:eastAsia="仿宋" w:cs="仿宋"/>
          <w:sz w:val="28"/>
          <w:szCs w:val="28"/>
        </w:rPr>
      </w:pPr>
    </w:p>
    <w:p>
      <w:pPr>
        <w:spacing w:line="520" w:lineRule="exact"/>
        <w:rPr>
          <w:rFonts w:ascii="仿宋" w:hAnsi="仿宋" w:eastAsia="仿宋" w:cs="仿宋"/>
          <w:sz w:val="28"/>
          <w:szCs w:val="28"/>
        </w:rPr>
      </w:pPr>
    </w:p>
    <w:p>
      <w:pPr>
        <w:spacing w:line="520" w:lineRule="exact"/>
        <w:rPr>
          <w:rFonts w:ascii="仿宋" w:hAnsi="仿宋" w:eastAsia="仿宋" w:cs="仿宋"/>
          <w:sz w:val="28"/>
          <w:szCs w:val="28"/>
        </w:rPr>
      </w:pPr>
    </w:p>
    <w:p>
      <w:pPr>
        <w:spacing w:line="520" w:lineRule="exact"/>
        <w:rPr>
          <w:rFonts w:ascii="仿宋" w:hAnsi="仿宋" w:eastAsia="仿宋" w:cs="仿宋"/>
          <w:sz w:val="28"/>
          <w:szCs w:val="28"/>
        </w:rPr>
      </w:pPr>
    </w:p>
    <w:p>
      <w:pPr>
        <w:adjustRightInd w:val="0"/>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pPr>
        <w:adjustRightInd w:val="0"/>
        <w:spacing w:line="520" w:lineRule="exact"/>
        <w:ind w:firstLine="630" w:firstLineChars="225"/>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520" w:lineRule="exact"/>
        <w:ind w:firstLine="630" w:firstLineChars="225"/>
        <w:jc w:val="left"/>
        <w:rPr>
          <w:rFonts w:ascii="仿宋" w:hAnsi="仿宋" w:eastAsia="仿宋" w:cs="仿宋"/>
          <w:bCs/>
          <w:sz w:val="28"/>
          <w:szCs w:val="28"/>
        </w:rPr>
      </w:pPr>
      <w:r>
        <w:rPr>
          <w:rFonts w:hint="eastAsia" w:ascii="仿宋" w:hAnsi="仿宋" w:eastAsia="仿宋" w:cs="仿宋"/>
          <w:bCs/>
          <w:sz w:val="28"/>
          <w:szCs w:val="28"/>
        </w:rPr>
        <w:t>日期:</w:t>
      </w:r>
    </w:p>
    <w:p>
      <w:pPr>
        <w:snapToGrid w:val="0"/>
        <w:spacing w:line="500" w:lineRule="exact"/>
        <w:rPr>
          <w:rFonts w:asciiTheme="minorEastAsia" w:hAnsiTheme="minorEastAsia" w:eastAsiaTheme="minorEastAsia"/>
          <w:b/>
          <w:bCs/>
          <w:kern w:val="0"/>
          <w:sz w:val="21"/>
          <w:szCs w:val="21"/>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rPr>
        <w:br w:type="page"/>
      </w:r>
    </w:p>
    <w:p>
      <w:pPr>
        <w:adjustRightInd w:val="0"/>
        <w:spacing w:line="480" w:lineRule="auto"/>
        <w:jc w:val="left"/>
        <w:rPr>
          <w:rFonts w:ascii="仿宋" w:hAnsi="仿宋" w:eastAsia="仿宋" w:cs="仿宋"/>
          <w:b/>
          <w:sz w:val="28"/>
          <w:szCs w:val="28"/>
        </w:rPr>
      </w:pPr>
      <w:r>
        <w:rPr>
          <w:rFonts w:hint="eastAsia" w:ascii="仿宋" w:hAnsi="仿宋" w:eastAsia="仿宋" w:cs="仿宋"/>
          <w:b/>
          <w:sz w:val="28"/>
          <w:szCs w:val="28"/>
        </w:rPr>
        <w:t>十、其他</w:t>
      </w: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2198897"/>
    </w:sdtPr>
    <w:sdtContent>
      <w:p>
        <w:pPr>
          <w:pStyle w:val="27"/>
          <w:jc w:val="center"/>
        </w:pPr>
      </w:p>
    </w:sdtContent>
  </w:sdt>
  <w:p>
    <w:pPr>
      <w:pStyle w:val="2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804"/>
    </w:sdtPr>
    <w:sdtContent>
      <w:p>
        <w:pPr>
          <w:pStyle w:val="27"/>
          <w:jc w:val="center"/>
        </w:pPr>
        <w:r>
          <w:fldChar w:fldCharType="begin"/>
        </w:r>
        <w:r>
          <w:instrText xml:space="preserve">PAGE   \* MERGEFORMAT</w:instrText>
        </w:r>
        <w:r>
          <w:fldChar w:fldCharType="separate"/>
        </w:r>
        <w:r>
          <w:rPr>
            <w:lang w:val="zh-CN"/>
          </w:rPr>
          <w:t>25</w:t>
        </w:r>
        <w:r>
          <w:rPr>
            <w:lang w:val="zh-CN"/>
          </w:rPr>
          <w:fldChar w:fldCharType="end"/>
        </w:r>
      </w:p>
    </w:sdtContent>
  </w:sdt>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olor w:val="000000" w:themeColor="text1"/>
        <w:sz w:val="18"/>
        <w:szCs w:val="18"/>
      </w:rPr>
    </w:pPr>
    <w:r>
      <w:rPr>
        <w:rFonts w:hint="eastAsia" w:ascii="宋体" w:hAnsi="宋体"/>
        <w:color w:val="000000" w:themeColor="text1"/>
        <w:sz w:val="18"/>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olor w:val="000000" w:themeColor="text1"/>
        <w:sz w:val="18"/>
        <w:szCs w:val="18"/>
      </w:rPr>
    </w:pPr>
    <w:r>
      <w:rPr>
        <w:rFonts w:hint="eastAsia" w:ascii="宋体" w:hAnsi="宋体"/>
        <w:color w:val="000000" w:themeColor="text1"/>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64DD7"/>
    <w:multiLevelType w:val="singleLevel"/>
    <w:tmpl w:val="D1F64DD7"/>
    <w:lvl w:ilvl="0" w:tentative="0">
      <w:start w:val="1"/>
      <w:numFmt w:val="chineseCounting"/>
      <w:suff w:val="space"/>
      <w:lvlText w:val="第%1章"/>
      <w:lvlJc w:val="left"/>
      <w:rPr>
        <w:rFonts w:hint="eastAsia"/>
      </w:rPr>
    </w:lvl>
  </w:abstractNum>
  <w:abstractNum w:abstractNumId="1">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05F1DE1"/>
    <w:multiLevelType w:val="singleLevel"/>
    <w:tmpl w:val="005F1DE1"/>
    <w:lvl w:ilvl="0" w:tentative="0">
      <w:start w:val="4"/>
      <w:numFmt w:val="chineseCounting"/>
      <w:suff w:val="space"/>
      <w:lvlText w:val="第%1章"/>
      <w:lvlJc w:val="left"/>
      <w:rPr>
        <w:rFonts w:hint="eastAsia"/>
      </w:rPr>
    </w:lvl>
  </w:abstractNum>
  <w:abstractNum w:abstractNumId="4">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isLgl/>
      <w:lvlText w:val="%1.%2"/>
      <w:lvlJc w:val="left"/>
      <w:pPr>
        <w:ind w:left="576" w:hanging="576"/>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4" w:hanging="1584"/>
      </w:pPr>
      <w:rPr>
        <w:rFonts w:hint="eastAsia"/>
      </w:rPr>
    </w:lvl>
  </w:abstractNum>
  <w:abstractNum w:abstractNumId="5">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pStyle w:val="174"/>
      <w:lvlText w:val="%2)"/>
      <w:lvlJc w:val="left"/>
      <w:pPr>
        <w:tabs>
          <w:tab w:val="left" w:pos="1441"/>
        </w:tabs>
        <w:ind w:left="1441" w:hanging="420"/>
      </w:pPr>
    </w:lvl>
    <w:lvl w:ilvl="2" w:tentative="0">
      <w:start w:val="1"/>
      <w:numFmt w:val="lowerRoman"/>
      <w:pStyle w:val="164"/>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9">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1"/>
  </w:num>
  <w:num w:numId="4">
    <w:abstractNumId w:val="7"/>
  </w:num>
  <w:num w:numId="5">
    <w:abstractNumId w:val="9"/>
  </w:num>
  <w:num w:numId="6">
    <w:abstractNumId w:val="6"/>
  </w:num>
  <w:num w:numId="7">
    <w:abstractNumId w:val="8"/>
  </w:num>
  <w:num w:numId="8">
    <w:abstractNumId w:val="5"/>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hideGrammaticalErrors/>
  <w:doNotTrackMoves/>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k1NGFlMjAxZDFlZTNiMWI1ZGU4NzhjYjQ5YmI3MzIifQ=="/>
  </w:docVars>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1DC0"/>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E40"/>
    <w:rsid w:val="000317CE"/>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7ED4"/>
    <w:rsid w:val="0009171A"/>
    <w:rsid w:val="0009276D"/>
    <w:rsid w:val="0009297F"/>
    <w:rsid w:val="00092E07"/>
    <w:rsid w:val="00093A6C"/>
    <w:rsid w:val="00093D03"/>
    <w:rsid w:val="00094237"/>
    <w:rsid w:val="00095BC8"/>
    <w:rsid w:val="000A07EB"/>
    <w:rsid w:val="000A1801"/>
    <w:rsid w:val="000A2528"/>
    <w:rsid w:val="000A5826"/>
    <w:rsid w:val="000A6B76"/>
    <w:rsid w:val="000A71D8"/>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D164D"/>
    <w:rsid w:val="000D1E42"/>
    <w:rsid w:val="000D339C"/>
    <w:rsid w:val="000D4AF9"/>
    <w:rsid w:val="000D504F"/>
    <w:rsid w:val="000D7315"/>
    <w:rsid w:val="000D77DB"/>
    <w:rsid w:val="000D7B0B"/>
    <w:rsid w:val="000E0B71"/>
    <w:rsid w:val="000E0E5F"/>
    <w:rsid w:val="000E27CB"/>
    <w:rsid w:val="000E32C8"/>
    <w:rsid w:val="000E3739"/>
    <w:rsid w:val="000E37BC"/>
    <w:rsid w:val="000E6ADF"/>
    <w:rsid w:val="000E6D8B"/>
    <w:rsid w:val="000E7053"/>
    <w:rsid w:val="000F0662"/>
    <w:rsid w:val="000F0869"/>
    <w:rsid w:val="000F0D6E"/>
    <w:rsid w:val="000F1581"/>
    <w:rsid w:val="000F19BC"/>
    <w:rsid w:val="000F2AE7"/>
    <w:rsid w:val="000F426A"/>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9C8"/>
    <w:rsid w:val="00156F52"/>
    <w:rsid w:val="00157FB9"/>
    <w:rsid w:val="00164563"/>
    <w:rsid w:val="00165A73"/>
    <w:rsid w:val="0017033D"/>
    <w:rsid w:val="0017061E"/>
    <w:rsid w:val="00170827"/>
    <w:rsid w:val="00170E76"/>
    <w:rsid w:val="00172E7E"/>
    <w:rsid w:val="001773C5"/>
    <w:rsid w:val="00177F2F"/>
    <w:rsid w:val="00180485"/>
    <w:rsid w:val="001804B7"/>
    <w:rsid w:val="00180F57"/>
    <w:rsid w:val="00181832"/>
    <w:rsid w:val="00182425"/>
    <w:rsid w:val="001829B9"/>
    <w:rsid w:val="00182F86"/>
    <w:rsid w:val="001832E4"/>
    <w:rsid w:val="00183BC7"/>
    <w:rsid w:val="00183D97"/>
    <w:rsid w:val="00185C1F"/>
    <w:rsid w:val="00185F25"/>
    <w:rsid w:val="001861AC"/>
    <w:rsid w:val="00186657"/>
    <w:rsid w:val="00186B61"/>
    <w:rsid w:val="00187256"/>
    <w:rsid w:val="00190815"/>
    <w:rsid w:val="00190F4A"/>
    <w:rsid w:val="001925E6"/>
    <w:rsid w:val="001937E8"/>
    <w:rsid w:val="00193CEE"/>
    <w:rsid w:val="00194958"/>
    <w:rsid w:val="00195213"/>
    <w:rsid w:val="00195656"/>
    <w:rsid w:val="001956AD"/>
    <w:rsid w:val="001A29F1"/>
    <w:rsid w:val="001A2DA9"/>
    <w:rsid w:val="001A2EFE"/>
    <w:rsid w:val="001A415D"/>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D07B5"/>
    <w:rsid w:val="001D08C7"/>
    <w:rsid w:val="001D0BD5"/>
    <w:rsid w:val="001D1716"/>
    <w:rsid w:val="001D1EE7"/>
    <w:rsid w:val="001D259D"/>
    <w:rsid w:val="001D2BB8"/>
    <w:rsid w:val="001D3500"/>
    <w:rsid w:val="001D3999"/>
    <w:rsid w:val="001D3AF0"/>
    <w:rsid w:val="001D3BA9"/>
    <w:rsid w:val="001D3BBF"/>
    <w:rsid w:val="001D4A5E"/>
    <w:rsid w:val="001D4B0D"/>
    <w:rsid w:val="001D686E"/>
    <w:rsid w:val="001D6C36"/>
    <w:rsid w:val="001D7979"/>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4426"/>
    <w:rsid w:val="00214D4A"/>
    <w:rsid w:val="00215319"/>
    <w:rsid w:val="002159A1"/>
    <w:rsid w:val="00217338"/>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5DDD"/>
    <w:rsid w:val="00236BA2"/>
    <w:rsid w:val="002407B1"/>
    <w:rsid w:val="00240EF3"/>
    <w:rsid w:val="0024184C"/>
    <w:rsid w:val="00242CA1"/>
    <w:rsid w:val="00243230"/>
    <w:rsid w:val="0024347B"/>
    <w:rsid w:val="002438CE"/>
    <w:rsid w:val="002441A5"/>
    <w:rsid w:val="00244571"/>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5E18"/>
    <w:rsid w:val="00285FD6"/>
    <w:rsid w:val="002906D5"/>
    <w:rsid w:val="00291A4A"/>
    <w:rsid w:val="0029239A"/>
    <w:rsid w:val="00292D3B"/>
    <w:rsid w:val="00297763"/>
    <w:rsid w:val="002A102B"/>
    <w:rsid w:val="002A2160"/>
    <w:rsid w:val="002A263E"/>
    <w:rsid w:val="002A3112"/>
    <w:rsid w:val="002A5BF1"/>
    <w:rsid w:val="002A6695"/>
    <w:rsid w:val="002A7929"/>
    <w:rsid w:val="002B0609"/>
    <w:rsid w:val="002B100C"/>
    <w:rsid w:val="002B1BA1"/>
    <w:rsid w:val="002B1C30"/>
    <w:rsid w:val="002B401F"/>
    <w:rsid w:val="002B43CE"/>
    <w:rsid w:val="002B6050"/>
    <w:rsid w:val="002B6BB1"/>
    <w:rsid w:val="002B6F92"/>
    <w:rsid w:val="002C3A8B"/>
    <w:rsid w:val="002C48D4"/>
    <w:rsid w:val="002C5A2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732"/>
    <w:rsid w:val="002F3CF4"/>
    <w:rsid w:val="002F4F77"/>
    <w:rsid w:val="002F63A1"/>
    <w:rsid w:val="002F74CF"/>
    <w:rsid w:val="00301F2D"/>
    <w:rsid w:val="00303480"/>
    <w:rsid w:val="003068F5"/>
    <w:rsid w:val="00306DB2"/>
    <w:rsid w:val="00310099"/>
    <w:rsid w:val="003111C3"/>
    <w:rsid w:val="00311A6C"/>
    <w:rsid w:val="003130E3"/>
    <w:rsid w:val="003145D6"/>
    <w:rsid w:val="003177C0"/>
    <w:rsid w:val="00317B73"/>
    <w:rsid w:val="00317E4F"/>
    <w:rsid w:val="00320E63"/>
    <w:rsid w:val="00321DBA"/>
    <w:rsid w:val="00321EE0"/>
    <w:rsid w:val="00322D1B"/>
    <w:rsid w:val="00327D55"/>
    <w:rsid w:val="003320DE"/>
    <w:rsid w:val="00337F1F"/>
    <w:rsid w:val="00337FFE"/>
    <w:rsid w:val="00340410"/>
    <w:rsid w:val="00340866"/>
    <w:rsid w:val="00340F38"/>
    <w:rsid w:val="00342CC4"/>
    <w:rsid w:val="003444C0"/>
    <w:rsid w:val="00346A16"/>
    <w:rsid w:val="0035030B"/>
    <w:rsid w:val="00350FCA"/>
    <w:rsid w:val="0035197B"/>
    <w:rsid w:val="00351FCC"/>
    <w:rsid w:val="003525E1"/>
    <w:rsid w:val="00352B0D"/>
    <w:rsid w:val="00354248"/>
    <w:rsid w:val="003546A4"/>
    <w:rsid w:val="0035507A"/>
    <w:rsid w:val="003553E3"/>
    <w:rsid w:val="00355C1D"/>
    <w:rsid w:val="003577CD"/>
    <w:rsid w:val="0036171A"/>
    <w:rsid w:val="00362BEE"/>
    <w:rsid w:val="003648BF"/>
    <w:rsid w:val="003658F5"/>
    <w:rsid w:val="00366B18"/>
    <w:rsid w:val="003720DD"/>
    <w:rsid w:val="0037251F"/>
    <w:rsid w:val="00373814"/>
    <w:rsid w:val="00373C7B"/>
    <w:rsid w:val="0037478A"/>
    <w:rsid w:val="003766CF"/>
    <w:rsid w:val="00377D79"/>
    <w:rsid w:val="00380AEC"/>
    <w:rsid w:val="003810A0"/>
    <w:rsid w:val="003816B7"/>
    <w:rsid w:val="0038196F"/>
    <w:rsid w:val="00381BAB"/>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0F93"/>
    <w:rsid w:val="003919FC"/>
    <w:rsid w:val="003924BD"/>
    <w:rsid w:val="003943E2"/>
    <w:rsid w:val="00394494"/>
    <w:rsid w:val="00394C14"/>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D6C"/>
    <w:rsid w:val="003F2438"/>
    <w:rsid w:val="003F628E"/>
    <w:rsid w:val="003F6389"/>
    <w:rsid w:val="003F67B1"/>
    <w:rsid w:val="003F6D84"/>
    <w:rsid w:val="003F7935"/>
    <w:rsid w:val="004005FD"/>
    <w:rsid w:val="0040070B"/>
    <w:rsid w:val="00400D41"/>
    <w:rsid w:val="004014E3"/>
    <w:rsid w:val="0040229A"/>
    <w:rsid w:val="0040249E"/>
    <w:rsid w:val="00403DD9"/>
    <w:rsid w:val="0040550D"/>
    <w:rsid w:val="0040721A"/>
    <w:rsid w:val="004077C5"/>
    <w:rsid w:val="00407F99"/>
    <w:rsid w:val="00410378"/>
    <w:rsid w:val="00410D9E"/>
    <w:rsid w:val="00410DD5"/>
    <w:rsid w:val="00410E8B"/>
    <w:rsid w:val="00412DA5"/>
    <w:rsid w:val="004137A2"/>
    <w:rsid w:val="00414C6A"/>
    <w:rsid w:val="00417247"/>
    <w:rsid w:val="0041787C"/>
    <w:rsid w:val="00417CDB"/>
    <w:rsid w:val="0042021A"/>
    <w:rsid w:val="0042047E"/>
    <w:rsid w:val="004205BA"/>
    <w:rsid w:val="004216F1"/>
    <w:rsid w:val="00422853"/>
    <w:rsid w:val="004238A2"/>
    <w:rsid w:val="0042484A"/>
    <w:rsid w:val="00425472"/>
    <w:rsid w:val="00425E53"/>
    <w:rsid w:val="00427095"/>
    <w:rsid w:val="00427DD9"/>
    <w:rsid w:val="00427E43"/>
    <w:rsid w:val="00431AC7"/>
    <w:rsid w:val="00432C1F"/>
    <w:rsid w:val="00432CD3"/>
    <w:rsid w:val="00435845"/>
    <w:rsid w:val="00436CF0"/>
    <w:rsid w:val="00440524"/>
    <w:rsid w:val="00440A36"/>
    <w:rsid w:val="00440E5A"/>
    <w:rsid w:val="0044286A"/>
    <w:rsid w:val="004429D8"/>
    <w:rsid w:val="0044475B"/>
    <w:rsid w:val="0044503E"/>
    <w:rsid w:val="00447C9F"/>
    <w:rsid w:val="0045181F"/>
    <w:rsid w:val="00454EDA"/>
    <w:rsid w:val="004551AC"/>
    <w:rsid w:val="00455E2C"/>
    <w:rsid w:val="00456704"/>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80DE1"/>
    <w:rsid w:val="00481ADC"/>
    <w:rsid w:val="0048397E"/>
    <w:rsid w:val="004845EB"/>
    <w:rsid w:val="00486A6E"/>
    <w:rsid w:val="00487F40"/>
    <w:rsid w:val="004901E6"/>
    <w:rsid w:val="004919CB"/>
    <w:rsid w:val="0049267A"/>
    <w:rsid w:val="00492918"/>
    <w:rsid w:val="00492985"/>
    <w:rsid w:val="00492BEE"/>
    <w:rsid w:val="00494EBF"/>
    <w:rsid w:val="004A0E4B"/>
    <w:rsid w:val="004A1363"/>
    <w:rsid w:val="004A2483"/>
    <w:rsid w:val="004A2AD9"/>
    <w:rsid w:val="004A2E10"/>
    <w:rsid w:val="004A3C01"/>
    <w:rsid w:val="004A4432"/>
    <w:rsid w:val="004B014A"/>
    <w:rsid w:val="004B0D04"/>
    <w:rsid w:val="004B0EF9"/>
    <w:rsid w:val="004B2278"/>
    <w:rsid w:val="004B320C"/>
    <w:rsid w:val="004B357C"/>
    <w:rsid w:val="004B3754"/>
    <w:rsid w:val="004B3FE5"/>
    <w:rsid w:val="004B7509"/>
    <w:rsid w:val="004C08CE"/>
    <w:rsid w:val="004C3BA5"/>
    <w:rsid w:val="004C455A"/>
    <w:rsid w:val="004C4758"/>
    <w:rsid w:val="004C697B"/>
    <w:rsid w:val="004C7915"/>
    <w:rsid w:val="004C7A2B"/>
    <w:rsid w:val="004D03E1"/>
    <w:rsid w:val="004D1476"/>
    <w:rsid w:val="004D2C93"/>
    <w:rsid w:val="004D453D"/>
    <w:rsid w:val="004D50AE"/>
    <w:rsid w:val="004D6F13"/>
    <w:rsid w:val="004D6F9C"/>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CCC"/>
    <w:rsid w:val="004E776B"/>
    <w:rsid w:val="004E7ACA"/>
    <w:rsid w:val="004F041F"/>
    <w:rsid w:val="004F0457"/>
    <w:rsid w:val="004F0FFA"/>
    <w:rsid w:val="004F29DD"/>
    <w:rsid w:val="004F2CE0"/>
    <w:rsid w:val="004F300B"/>
    <w:rsid w:val="004F33FD"/>
    <w:rsid w:val="004F4682"/>
    <w:rsid w:val="004F4C0B"/>
    <w:rsid w:val="004F6CA5"/>
    <w:rsid w:val="004F6DAA"/>
    <w:rsid w:val="004F7538"/>
    <w:rsid w:val="004F7F8F"/>
    <w:rsid w:val="00501388"/>
    <w:rsid w:val="00503779"/>
    <w:rsid w:val="00506767"/>
    <w:rsid w:val="0050750D"/>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4310"/>
    <w:rsid w:val="005353DB"/>
    <w:rsid w:val="0053572D"/>
    <w:rsid w:val="005357FF"/>
    <w:rsid w:val="00536854"/>
    <w:rsid w:val="005376E0"/>
    <w:rsid w:val="00537DD0"/>
    <w:rsid w:val="00540CD2"/>
    <w:rsid w:val="00540FB8"/>
    <w:rsid w:val="0054214A"/>
    <w:rsid w:val="0054221E"/>
    <w:rsid w:val="005435EC"/>
    <w:rsid w:val="00543EC1"/>
    <w:rsid w:val="00544737"/>
    <w:rsid w:val="00544F7A"/>
    <w:rsid w:val="0054555C"/>
    <w:rsid w:val="005456EF"/>
    <w:rsid w:val="00545C31"/>
    <w:rsid w:val="00545DC3"/>
    <w:rsid w:val="00545E54"/>
    <w:rsid w:val="00550802"/>
    <w:rsid w:val="00550F6F"/>
    <w:rsid w:val="00551136"/>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7924"/>
    <w:rsid w:val="005779C4"/>
    <w:rsid w:val="00580307"/>
    <w:rsid w:val="0058139E"/>
    <w:rsid w:val="005843D2"/>
    <w:rsid w:val="005867D1"/>
    <w:rsid w:val="00587407"/>
    <w:rsid w:val="00587ECD"/>
    <w:rsid w:val="005907BE"/>
    <w:rsid w:val="00592A26"/>
    <w:rsid w:val="00594117"/>
    <w:rsid w:val="005946BD"/>
    <w:rsid w:val="005967F1"/>
    <w:rsid w:val="005A06F7"/>
    <w:rsid w:val="005A0B9F"/>
    <w:rsid w:val="005A0FC7"/>
    <w:rsid w:val="005A168C"/>
    <w:rsid w:val="005A431C"/>
    <w:rsid w:val="005A465E"/>
    <w:rsid w:val="005A5F3B"/>
    <w:rsid w:val="005A7BA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14FC"/>
    <w:rsid w:val="00621659"/>
    <w:rsid w:val="006219B7"/>
    <w:rsid w:val="006226D4"/>
    <w:rsid w:val="006234EC"/>
    <w:rsid w:val="00623FD7"/>
    <w:rsid w:val="0062454A"/>
    <w:rsid w:val="0062488C"/>
    <w:rsid w:val="00624A32"/>
    <w:rsid w:val="006275A9"/>
    <w:rsid w:val="00627E8E"/>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254A"/>
    <w:rsid w:val="006525CA"/>
    <w:rsid w:val="00652D08"/>
    <w:rsid w:val="00654E73"/>
    <w:rsid w:val="0065601D"/>
    <w:rsid w:val="00656E7B"/>
    <w:rsid w:val="00660A62"/>
    <w:rsid w:val="00662047"/>
    <w:rsid w:val="006623B8"/>
    <w:rsid w:val="00662F9B"/>
    <w:rsid w:val="006634D1"/>
    <w:rsid w:val="00663920"/>
    <w:rsid w:val="00664CCF"/>
    <w:rsid w:val="00666230"/>
    <w:rsid w:val="006675AE"/>
    <w:rsid w:val="00672F55"/>
    <w:rsid w:val="006733A4"/>
    <w:rsid w:val="00673B6D"/>
    <w:rsid w:val="006741DC"/>
    <w:rsid w:val="006753D2"/>
    <w:rsid w:val="006755B6"/>
    <w:rsid w:val="00677868"/>
    <w:rsid w:val="00681644"/>
    <w:rsid w:val="006824B5"/>
    <w:rsid w:val="006832EB"/>
    <w:rsid w:val="00683A8F"/>
    <w:rsid w:val="0068565B"/>
    <w:rsid w:val="00685D77"/>
    <w:rsid w:val="0068647C"/>
    <w:rsid w:val="0069036F"/>
    <w:rsid w:val="00690B82"/>
    <w:rsid w:val="006910FA"/>
    <w:rsid w:val="0069291B"/>
    <w:rsid w:val="006954F6"/>
    <w:rsid w:val="0069574B"/>
    <w:rsid w:val="006A24C5"/>
    <w:rsid w:val="006A3AF3"/>
    <w:rsid w:val="006A405E"/>
    <w:rsid w:val="006A5D24"/>
    <w:rsid w:val="006A5DDE"/>
    <w:rsid w:val="006A61D2"/>
    <w:rsid w:val="006A6C7C"/>
    <w:rsid w:val="006A7CF9"/>
    <w:rsid w:val="006B016D"/>
    <w:rsid w:val="006B456B"/>
    <w:rsid w:val="006B6920"/>
    <w:rsid w:val="006B71BD"/>
    <w:rsid w:val="006C0746"/>
    <w:rsid w:val="006C15E7"/>
    <w:rsid w:val="006C35C3"/>
    <w:rsid w:val="006C39D7"/>
    <w:rsid w:val="006C3D61"/>
    <w:rsid w:val="006C6CDA"/>
    <w:rsid w:val="006D0A15"/>
    <w:rsid w:val="006D1A30"/>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5867"/>
    <w:rsid w:val="006F657E"/>
    <w:rsid w:val="006F7A29"/>
    <w:rsid w:val="007000CC"/>
    <w:rsid w:val="00701269"/>
    <w:rsid w:val="007030CD"/>
    <w:rsid w:val="007032D9"/>
    <w:rsid w:val="00704F6D"/>
    <w:rsid w:val="00705B98"/>
    <w:rsid w:val="007078E8"/>
    <w:rsid w:val="00707FCB"/>
    <w:rsid w:val="00710DF3"/>
    <w:rsid w:val="0071113A"/>
    <w:rsid w:val="00711CCE"/>
    <w:rsid w:val="00712C70"/>
    <w:rsid w:val="00712D70"/>
    <w:rsid w:val="00713634"/>
    <w:rsid w:val="00713FCB"/>
    <w:rsid w:val="00714D1D"/>
    <w:rsid w:val="00715FE9"/>
    <w:rsid w:val="00720647"/>
    <w:rsid w:val="00721ED9"/>
    <w:rsid w:val="00722139"/>
    <w:rsid w:val="00722FB5"/>
    <w:rsid w:val="00723782"/>
    <w:rsid w:val="00723E94"/>
    <w:rsid w:val="00724D3D"/>
    <w:rsid w:val="00725DBF"/>
    <w:rsid w:val="007279FF"/>
    <w:rsid w:val="0073042F"/>
    <w:rsid w:val="00730434"/>
    <w:rsid w:val="00731190"/>
    <w:rsid w:val="00731F7E"/>
    <w:rsid w:val="00732DC7"/>
    <w:rsid w:val="00733C14"/>
    <w:rsid w:val="007348DF"/>
    <w:rsid w:val="007358F1"/>
    <w:rsid w:val="007362BD"/>
    <w:rsid w:val="00736B3D"/>
    <w:rsid w:val="00736C3D"/>
    <w:rsid w:val="00740EE0"/>
    <w:rsid w:val="00741C49"/>
    <w:rsid w:val="00741F73"/>
    <w:rsid w:val="007430FD"/>
    <w:rsid w:val="0074369C"/>
    <w:rsid w:val="0074414C"/>
    <w:rsid w:val="00746D11"/>
    <w:rsid w:val="00746FD1"/>
    <w:rsid w:val="0074702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ADF"/>
    <w:rsid w:val="00781DB6"/>
    <w:rsid w:val="007855C6"/>
    <w:rsid w:val="00785F6B"/>
    <w:rsid w:val="0078656F"/>
    <w:rsid w:val="00786CD5"/>
    <w:rsid w:val="00786FFC"/>
    <w:rsid w:val="0078734B"/>
    <w:rsid w:val="007958FB"/>
    <w:rsid w:val="00795B15"/>
    <w:rsid w:val="00795FF4"/>
    <w:rsid w:val="0079634A"/>
    <w:rsid w:val="00796B94"/>
    <w:rsid w:val="00796C4C"/>
    <w:rsid w:val="007A03FA"/>
    <w:rsid w:val="007A05C9"/>
    <w:rsid w:val="007A1097"/>
    <w:rsid w:val="007A18A9"/>
    <w:rsid w:val="007A1FEE"/>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4AAC"/>
    <w:rsid w:val="007C58D7"/>
    <w:rsid w:val="007C5AED"/>
    <w:rsid w:val="007C779C"/>
    <w:rsid w:val="007D11F9"/>
    <w:rsid w:val="007D19ED"/>
    <w:rsid w:val="007D1F90"/>
    <w:rsid w:val="007D258A"/>
    <w:rsid w:val="007D52A2"/>
    <w:rsid w:val="007D53F1"/>
    <w:rsid w:val="007D5BA4"/>
    <w:rsid w:val="007D6101"/>
    <w:rsid w:val="007D692B"/>
    <w:rsid w:val="007D6BB2"/>
    <w:rsid w:val="007D7EE0"/>
    <w:rsid w:val="007E0333"/>
    <w:rsid w:val="007E1D36"/>
    <w:rsid w:val="007E2A84"/>
    <w:rsid w:val="007E53CD"/>
    <w:rsid w:val="007E6E1F"/>
    <w:rsid w:val="007E6EC1"/>
    <w:rsid w:val="007F0375"/>
    <w:rsid w:val="007F0E99"/>
    <w:rsid w:val="007F1A45"/>
    <w:rsid w:val="007F307A"/>
    <w:rsid w:val="007F40A5"/>
    <w:rsid w:val="007F5C20"/>
    <w:rsid w:val="007F5D2D"/>
    <w:rsid w:val="007F7026"/>
    <w:rsid w:val="008019BE"/>
    <w:rsid w:val="00801E30"/>
    <w:rsid w:val="00803BE0"/>
    <w:rsid w:val="00805CB6"/>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BB7"/>
    <w:rsid w:val="008328F8"/>
    <w:rsid w:val="0083292F"/>
    <w:rsid w:val="00833041"/>
    <w:rsid w:val="00833B72"/>
    <w:rsid w:val="00834573"/>
    <w:rsid w:val="0083500D"/>
    <w:rsid w:val="0084222F"/>
    <w:rsid w:val="00842AAA"/>
    <w:rsid w:val="00842BBD"/>
    <w:rsid w:val="00842E47"/>
    <w:rsid w:val="008434C2"/>
    <w:rsid w:val="00846027"/>
    <w:rsid w:val="008460CD"/>
    <w:rsid w:val="0084624D"/>
    <w:rsid w:val="008467EC"/>
    <w:rsid w:val="008516BB"/>
    <w:rsid w:val="00852FE6"/>
    <w:rsid w:val="00853C17"/>
    <w:rsid w:val="00853CC7"/>
    <w:rsid w:val="0085457A"/>
    <w:rsid w:val="00855F52"/>
    <w:rsid w:val="008568D0"/>
    <w:rsid w:val="00856B9D"/>
    <w:rsid w:val="00857B71"/>
    <w:rsid w:val="00861873"/>
    <w:rsid w:val="0086227A"/>
    <w:rsid w:val="00862399"/>
    <w:rsid w:val="00863A53"/>
    <w:rsid w:val="00863CCC"/>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19AB"/>
    <w:rsid w:val="0088464C"/>
    <w:rsid w:val="0088734E"/>
    <w:rsid w:val="00887D74"/>
    <w:rsid w:val="008912C6"/>
    <w:rsid w:val="00891FBB"/>
    <w:rsid w:val="00892546"/>
    <w:rsid w:val="008938EF"/>
    <w:rsid w:val="008A0E46"/>
    <w:rsid w:val="008A2B28"/>
    <w:rsid w:val="008A2E77"/>
    <w:rsid w:val="008A4962"/>
    <w:rsid w:val="008A5C0C"/>
    <w:rsid w:val="008A5D4E"/>
    <w:rsid w:val="008A61BE"/>
    <w:rsid w:val="008A6292"/>
    <w:rsid w:val="008A6A9F"/>
    <w:rsid w:val="008A7D84"/>
    <w:rsid w:val="008B11C4"/>
    <w:rsid w:val="008B36BB"/>
    <w:rsid w:val="008B3752"/>
    <w:rsid w:val="008B4D9C"/>
    <w:rsid w:val="008B5860"/>
    <w:rsid w:val="008B66AF"/>
    <w:rsid w:val="008B716F"/>
    <w:rsid w:val="008C08D9"/>
    <w:rsid w:val="008C3232"/>
    <w:rsid w:val="008C3632"/>
    <w:rsid w:val="008C3CF2"/>
    <w:rsid w:val="008C4F0E"/>
    <w:rsid w:val="008C5555"/>
    <w:rsid w:val="008C65A6"/>
    <w:rsid w:val="008C7A02"/>
    <w:rsid w:val="008D1361"/>
    <w:rsid w:val="008D27A8"/>
    <w:rsid w:val="008D303E"/>
    <w:rsid w:val="008D3EA0"/>
    <w:rsid w:val="008D4081"/>
    <w:rsid w:val="008D4D8C"/>
    <w:rsid w:val="008D53EC"/>
    <w:rsid w:val="008D6695"/>
    <w:rsid w:val="008D7073"/>
    <w:rsid w:val="008E0DA4"/>
    <w:rsid w:val="008E4544"/>
    <w:rsid w:val="008E4662"/>
    <w:rsid w:val="008F0937"/>
    <w:rsid w:val="008F2582"/>
    <w:rsid w:val="008F2F2F"/>
    <w:rsid w:val="008F5415"/>
    <w:rsid w:val="008F5CD9"/>
    <w:rsid w:val="008F7CF2"/>
    <w:rsid w:val="00900D6A"/>
    <w:rsid w:val="00904EC9"/>
    <w:rsid w:val="00904F71"/>
    <w:rsid w:val="0090659B"/>
    <w:rsid w:val="009070CF"/>
    <w:rsid w:val="0091015E"/>
    <w:rsid w:val="009107E4"/>
    <w:rsid w:val="009108D0"/>
    <w:rsid w:val="009165BA"/>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4CA4"/>
    <w:rsid w:val="009452A1"/>
    <w:rsid w:val="00945C33"/>
    <w:rsid w:val="0094626D"/>
    <w:rsid w:val="009464C9"/>
    <w:rsid w:val="00951AE6"/>
    <w:rsid w:val="009522B6"/>
    <w:rsid w:val="00952836"/>
    <w:rsid w:val="0095386E"/>
    <w:rsid w:val="00954409"/>
    <w:rsid w:val="009546E1"/>
    <w:rsid w:val="00956037"/>
    <w:rsid w:val="00956B4E"/>
    <w:rsid w:val="00960289"/>
    <w:rsid w:val="009611C8"/>
    <w:rsid w:val="00961453"/>
    <w:rsid w:val="00963316"/>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75D0"/>
    <w:rsid w:val="00977859"/>
    <w:rsid w:val="009825F1"/>
    <w:rsid w:val="009826EB"/>
    <w:rsid w:val="00982F57"/>
    <w:rsid w:val="00986004"/>
    <w:rsid w:val="00990412"/>
    <w:rsid w:val="00990445"/>
    <w:rsid w:val="00992B41"/>
    <w:rsid w:val="00995C2E"/>
    <w:rsid w:val="009977DC"/>
    <w:rsid w:val="00997FAE"/>
    <w:rsid w:val="009A0274"/>
    <w:rsid w:val="009A1054"/>
    <w:rsid w:val="009A1BC0"/>
    <w:rsid w:val="009A1EC5"/>
    <w:rsid w:val="009A298C"/>
    <w:rsid w:val="009A35A0"/>
    <w:rsid w:val="009A3C50"/>
    <w:rsid w:val="009A4378"/>
    <w:rsid w:val="009A48D7"/>
    <w:rsid w:val="009A63D8"/>
    <w:rsid w:val="009A689D"/>
    <w:rsid w:val="009A6A23"/>
    <w:rsid w:val="009B10CA"/>
    <w:rsid w:val="009B1D61"/>
    <w:rsid w:val="009B1EE6"/>
    <w:rsid w:val="009B1FB9"/>
    <w:rsid w:val="009B237F"/>
    <w:rsid w:val="009B29D5"/>
    <w:rsid w:val="009B3080"/>
    <w:rsid w:val="009B55B6"/>
    <w:rsid w:val="009B5E7E"/>
    <w:rsid w:val="009B6696"/>
    <w:rsid w:val="009B6888"/>
    <w:rsid w:val="009B7BD2"/>
    <w:rsid w:val="009B7F80"/>
    <w:rsid w:val="009C0769"/>
    <w:rsid w:val="009C0CC6"/>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70EF"/>
    <w:rsid w:val="009E722D"/>
    <w:rsid w:val="009E7985"/>
    <w:rsid w:val="009F0F01"/>
    <w:rsid w:val="009F31AC"/>
    <w:rsid w:val="009F3A13"/>
    <w:rsid w:val="009F3D67"/>
    <w:rsid w:val="009F3E32"/>
    <w:rsid w:val="009F500D"/>
    <w:rsid w:val="009F7836"/>
    <w:rsid w:val="00A0060A"/>
    <w:rsid w:val="00A00FB4"/>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E8B"/>
    <w:rsid w:val="00A161E6"/>
    <w:rsid w:val="00A1629D"/>
    <w:rsid w:val="00A166CB"/>
    <w:rsid w:val="00A22A71"/>
    <w:rsid w:val="00A2310C"/>
    <w:rsid w:val="00A23434"/>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60D9"/>
    <w:rsid w:val="00A3692C"/>
    <w:rsid w:val="00A376DB"/>
    <w:rsid w:val="00A42499"/>
    <w:rsid w:val="00A425E9"/>
    <w:rsid w:val="00A43273"/>
    <w:rsid w:val="00A4409C"/>
    <w:rsid w:val="00A440C5"/>
    <w:rsid w:val="00A4749F"/>
    <w:rsid w:val="00A508AD"/>
    <w:rsid w:val="00A50E23"/>
    <w:rsid w:val="00A515B8"/>
    <w:rsid w:val="00A51893"/>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60DE"/>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D1782"/>
    <w:rsid w:val="00AD18B4"/>
    <w:rsid w:val="00AD1D8D"/>
    <w:rsid w:val="00AD2601"/>
    <w:rsid w:val="00AD33DA"/>
    <w:rsid w:val="00AD3935"/>
    <w:rsid w:val="00AD3A86"/>
    <w:rsid w:val="00AD5491"/>
    <w:rsid w:val="00AD6762"/>
    <w:rsid w:val="00AD6D03"/>
    <w:rsid w:val="00AD7BA8"/>
    <w:rsid w:val="00AE0256"/>
    <w:rsid w:val="00AE1A0A"/>
    <w:rsid w:val="00AE30D9"/>
    <w:rsid w:val="00AE3467"/>
    <w:rsid w:val="00AE468D"/>
    <w:rsid w:val="00AE49C2"/>
    <w:rsid w:val="00AE51E8"/>
    <w:rsid w:val="00AE6013"/>
    <w:rsid w:val="00AE791A"/>
    <w:rsid w:val="00AF055D"/>
    <w:rsid w:val="00AF47AA"/>
    <w:rsid w:val="00AF4E1D"/>
    <w:rsid w:val="00AF7AEA"/>
    <w:rsid w:val="00B00184"/>
    <w:rsid w:val="00B02C77"/>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3578"/>
    <w:rsid w:val="00B253A0"/>
    <w:rsid w:val="00B255E6"/>
    <w:rsid w:val="00B2570B"/>
    <w:rsid w:val="00B263AC"/>
    <w:rsid w:val="00B3140F"/>
    <w:rsid w:val="00B32977"/>
    <w:rsid w:val="00B32EE9"/>
    <w:rsid w:val="00B33CE5"/>
    <w:rsid w:val="00B33F6B"/>
    <w:rsid w:val="00B34D86"/>
    <w:rsid w:val="00B35E72"/>
    <w:rsid w:val="00B36157"/>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AE9"/>
    <w:rsid w:val="00B62649"/>
    <w:rsid w:val="00B62838"/>
    <w:rsid w:val="00B62C25"/>
    <w:rsid w:val="00B64598"/>
    <w:rsid w:val="00B650EE"/>
    <w:rsid w:val="00B65BB1"/>
    <w:rsid w:val="00B6657B"/>
    <w:rsid w:val="00B66AA2"/>
    <w:rsid w:val="00B66ECE"/>
    <w:rsid w:val="00B7138C"/>
    <w:rsid w:val="00B71660"/>
    <w:rsid w:val="00B71DDC"/>
    <w:rsid w:val="00B7265F"/>
    <w:rsid w:val="00B726C0"/>
    <w:rsid w:val="00B728F7"/>
    <w:rsid w:val="00B741C7"/>
    <w:rsid w:val="00B74926"/>
    <w:rsid w:val="00B74E7B"/>
    <w:rsid w:val="00B753F1"/>
    <w:rsid w:val="00B76AEA"/>
    <w:rsid w:val="00B76B10"/>
    <w:rsid w:val="00B76BB7"/>
    <w:rsid w:val="00B82109"/>
    <w:rsid w:val="00B873E4"/>
    <w:rsid w:val="00B87583"/>
    <w:rsid w:val="00B87803"/>
    <w:rsid w:val="00B90CBE"/>
    <w:rsid w:val="00B90FCE"/>
    <w:rsid w:val="00B91225"/>
    <w:rsid w:val="00B91C4A"/>
    <w:rsid w:val="00B93026"/>
    <w:rsid w:val="00B94690"/>
    <w:rsid w:val="00B94D37"/>
    <w:rsid w:val="00B95436"/>
    <w:rsid w:val="00B95899"/>
    <w:rsid w:val="00B95F6A"/>
    <w:rsid w:val="00B960EB"/>
    <w:rsid w:val="00B96A7A"/>
    <w:rsid w:val="00B96B2D"/>
    <w:rsid w:val="00B96CAD"/>
    <w:rsid w:val="00B9720B"/>
    <w:rsid w:val="00B97A28"/>
    <w:rsid w:val="00B97D8D"/>
    <w:rsid w:val="00BA19AA"/>
    <w:rsid w:val="00BA24AD"/>
    <w:rsid w:val="00BA2F17"/>
    <w:rsid w:val="00BA3E7F"/>
    <w:rsid w:val="00BA4A8A"/>
    <w:rsid w:val="00BA4D7C"/>
    <w:rsid w:val="00BA726E"/>
    <w:rsid w:val="00BA7761"/>
    <w:rsid w:val="00BA7BB4"/>
    <w:rsid w:val="00BA7BB9"/>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E15"/>
    <w:rsid w:val="00BC740C"/>
    <w:rsid w:val="00BC79C3"/>
    <w:rsid w:val="00BC7F04"/>
    <w:rsid w:val="00BD30B3"/>
    <w:rsid w:val="00BD39EA"/>
    <w:rsid w:val="00BD4390"/>
    <w:rsid w:val="00BD458C"/>
    <w:rsid w:val="00BD45E8"/>
    <w:rsid w:val="00BD4AAF"/>
    <w:rsid w:val="00BD710D"/>
    <w:rsid w:val="00BE03D4"/>
    <w:rsid w:val="00BE0453"/>
    <w:rsid w:val="00BE4298"/>
    <w:rsid w:val="00BE4F62"/>
    <w:rsid w:val="00BE56EF"/>
    <w:rsid w:val="00BE6C21"/>
    <w:rsid w:val="00BE7183"/>
    <w:rsid w:val="00BF126E"/>
    <w:rsid w:val="00BF168D"/>
    <w:rsid w:val="00BF1E62"/>
    <w:rsid w:val="00BF24B8"/>
    <w:rsid w:val="00BF7EB7"/>
    <w:rsid w:val="00C0137D"/>
    <w:rsid w:val="00C015EA"/>
    <w:rsid w:val="00C03EDA"/>
    <w:rsid w:val="00C0485C"/>
    <w:rsid w:val="00C0555C"/>
    <w:rsid w:val="00C05A5A"/>
    <w:rsid w:val="00C05BA2"/>
    <w:rsid w:val="00C06133"/>
    <w:rsid w:val="00C07E05"/>
    <w:rsid w:val="00C13017"/>
    <w:rsid w:val="00C1368D"/>
    <w:rsid w:val="00C14744"/>
    <w:rsid w:val="00C17389"/>
    <w:rsid w:val="00C20A7C"/>
    <w:rsid w:val="00C21460"/>
    <w:rsid w:val="00C2260B"/>
    <w:rsid w:val="00C2461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A0D"/>
    <w:rsid w:val="00C455E6"/>
    <w:rsid w:val="00C458A7"/>
    <w:rsid w:val="00C46AEE"/>
    <w:rsid w:val="00C47441"/>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2839"/>
    <w:rsid w:val="00CE2C5E"/>
    <w:rsid w:val="00CE388C"/>
    <w:rsid w:val="00CE3A42"/>
    <w:rsid w:val="00CE67BA"/>
    <w:rsid w:val="00CF0429"/>
    <w:rsid w:val="00CF11FF"/>
    <w:rsid w:val="00CF15CD"/>
    <w:rsid w:val="00CF32AE"/>
    <w:rsid w:val="00CF3C0E"/>
    <w:rsid w:val="00CF6E32"/>
    <w:rsid w:val="00CF752F"/>
    <w:rsid w:val="00D0001F"/>
    <w:rsid w:val="00D0043C"/>
    <w:rsid w:val="00D007CA"/>
    <w:rsid w:val="00D029EE"/>
    <w:rsid w:val="00D0317C"/>
    <w:rsid w:val="00D03778"/>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207BB"/>
    <w:rsid w:val="00D2312D"/>
    <w:rsid w:val="00D24850"/>
    <w:rsid w:val="00D24A35"/>
    <w:rsid w:val="00D25AF6"/>
    <w:rsid w:val="00D2615A"/>
    <w:rsid w:val="00D275D5"/>
    <w:rsid w:val="00D30ACE"/>
    <w:rsid w:val="00D317E6"/>
    <w:rsid w:val="00D31ADF"/>
    <w:rsid w:val="00D356B0"/>
    <w:rsid w:val="00D35FB0"/>
    <w:rsid w:val="00D404DF"/>
    <w:rsid w:val="00D438DB"/>
    <w:rsid w:val="00D44309"/>
    <w:rsid w:val="00D46105"/>
    <w:rsid w:val="00D46471"/>
    <w:rsid w:val="00D527D8"/>
    <w:rsid w:val="00D52BC0"/>
    <w:rsid w:val="00D53249"/>
    <w:rsid w:val="00D53CE7"/>
    <w:rsid w:val="00D54D95"/>
    <w:rsid w:val="00D55FDC"/>
    <w:rsid w:val="00D6245A"/>
    <w:rsid w:val="00D67994"/>
    <w:rsid w:val="00D67E63"/>
    <w:rsid w:val="00D70C0C"/>
    <w:rsid w:val="00D7489E"/>
    <w:rsid w:val="00D7529B"/>
    <w:rsid w:val="00D758BA"/>
    <w:rsid w:val="00D75FE4"/>
    <w:rsid w:val="00D77897"/>
    <w:rsid w:val="00D80018"/>
    <w:rsid w:val="00D80736"/>
    <w:rsid w:val="00D80BD9"/>
    <w:rsid w:val="00D81FC5"/>
    <w:rsid w:val="00D82F90"/>
    <w:rsid w:val="00D8536B"/>
    <w:rsid w:val="00D86803"/>
    <w:rsid w:val="00D86881"/>
    <w:rsid w:val="00D87D56"/>
    <w:rsid w:val="00D90722"/>
    <w:rsid w:val="00D919F7"/>
    <w:rsid w:val="00D92430"/>
    <w:rsid w:val="00D924A8"/>
    <w:rsid w:val="00D93F35"/>
    <w:rsid w:val="00D94BEA"/>
    <w:rsid w:val="00D95C73"/>
    <w:rsid w:val="00D976C5"/>
    <w:rsid w:val="00D97F02"/>
    <w:rsid w:val="00DA1288"/>
    <w:rsid w:val="00DA2F4E"/>
    <w:rsid w:val="00DA3971"/>
    <w:rsid w:val="00DA4636"/>
    <w:rsid w:val="00DA4CA6"/>
    <w:rsid w:val="00DA50EA"/>
    <w:rsid w:val="00DA51A5"/>
    <w:rsid w:val="00DA71DA"/>
    <w:rsid w:val="00DB0798"/>
    <w:rsid w:val="00DB1CDF"/>
    <w:rsid w:val="00DB25F2"/>
    <w:rsid w:val="00DB2EC3"/>
    <w:rsid w:val="00DB3B2D"/>
    <w:rsid w:val="00DB3B9F"/>
    <w:rsid w:val="00DB49FE"/>
    <w:rsid w:val="00DB7A7A"/>
    <w:rsid w:val="00DC1915"/>
    <w:rsid w:val="00DC2080"/>
    <w:rsid w:val="00DC3879"/>
    <w:rsid w:val="00DC3C01"/>
    <w:rsid w:val="00DC53E0"/>
    <w:rsid w:val="00DC581F"/>
    <w:rsid w:val="00DC6789"/>
    <w:rsid w:val="00DC6AF2"/>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A49"/>
    <w:rsid w:val="00DE5F14"/>
    <w:rsid w:val="00DE76AF"/>
    <w:rsid w:val="00DF0BAA"/>
    <w:rsid w:val="00DF1696"/>
    <w:rsid w:val="00DF20CA"/>
    <w:rsid w:val="00DF233B"/>
    <w:rsid w:val="00DF36B6"/>
    <w:rsid w:val="00DF4D06"/>
    <w:rsid w:val="00DF5784"/>
    <w:rsid w:val="00DF58F7"/>
    <w:rsid w:val="00DF6719"/>
    <w:rsid w:val="00DF67A8"/>
    <w:rsid w:val="00E00C7C"/>
    <w:rsid w:val="00E025C3"/>
    <w:rsid w:val="00E035A6"/>
    <w:rsid w:val="00E04CE4"/>
    <w:rsid w:val="00E060B7"/>
    <w:rsid w:val="00E06EAE"/>
    <w:rsid w:val="00E07CED"/>
    <w:rsid w:val="00E10CAC"/>
    <w:rsid w:val="00E11516"/>
    <w:rsid w:val="00E1233F"/>
    <w:rsid w:val="00E1278A"/>
    <w:rsid w:val="00E12EA1"/>
    <w:rsid w:val="00E13AAF"/>
    <w:rsid w:val="00E14EEB"/>
    <w:rsid w:val="00E159F1"/>
    <w:rsid w:val="00E17230"/>
    <w:rsid w:val="00E20182"/>
    <w:rsid w:val="00E20B3D"/>
    <w:rsid w:val="00E20BD4"/>
    <w:rsid w:val="00E2191A"/>
    <w:rsid w:val="00E21B48"/>
    <w:rsid w:val="00E21DFE"/>
    <w:rsid w:val="00E220E0"/>
    <w:rsid w:val="00E246F7"/>
    <w:rsid w:val="00E24C78"/>
    <w:rsid w:val="00E2594F"/>
    <w:rsid w:val="00E26ED0"/>
    <w:rsid w:val="00E273A0"/>
    <w:rsid w:val="00E27A70"/>
    <w:rsid w:val="00E309B7"/>
    <w:rsid w:val="00E30FD1"/>
    <w:rsid w:val="00E31CDA"/>
    <w:rsid w:val="00E328F0"/>
    <w:rsid w:val="00E32D05"/>
    <w:rsid w:val="00E342BD"/>
    <w:rsid w:val="00E34A38"/>
    <w:rsid w:val="00E37B2C"/>
    <w:rsid w:val="00E418F8"/>
    <w:rsid w:val="00E4200B"/>
    <w:rsid w:val="00E45E33"/>
    <w:rsid w:val="00E465C3"/>
    <w:rsid w:val="00E4675E"/>
    <w:rsid w:val="00E5026E"/>
    <w:rsid w:val="00E50A9D"/>
    <w:rsid w:val="00E51AB7"/>
    <w:rsid w:val="00E57976"/>
    <w:rsid w:val="00E60DD0"/>
    <w:rsid w:val="00E613F8"/>
    <w:rsid w:val="00E62146"/>
    <w:rsid w:val="00E62A1F"/>
    <w:rsid w:val="00E66592"/>
    <w:rsid w:val="00E66732"/>
    <w:rsid w:val="00E66835"/>
    <w:rsid w:val="00E67E42"/>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47B9"/>
    <w:rsid w:val="00E9521C"/>
    <w:rsid w:val="00E955EF"/>
    <w:rsid w:val="00E97A21"/>
    <w:rsid w:val="00EA03EF"/>
    <w:rsid w:val="00EA04AE"/>
    <w:rsid w:val="00EA0C9F"/>
    <w:rsid w:val="00EA2739"/>
    <w:rsid w:val="00EA2DAF"/>
    <w:rsid w:val="00EA45E8"/>
    <w:rsid w:val="00EA61D5"/>
    <w:rsid w:val="00EA683B"/>
    <w:rsid w:val="00EB0E1A"/>
    <w:rsid w:val="00EB15D5"/>
    <w:rsid w:val="00EB1E91"/>
    <w:rsid w:val="00EB3F46"/>
    <w:rsid w:val="00EB5A86"/>
    <w:rsid w:val="00EB5D64"/>
    <w:rsid w:val="00EB75AD"/>
    <w:rsid w:val="00EC0293"/>
    <w:rsid w:val="00EC0FB9"/>
    <w:rsid w:val="00EC12FD"/>
    <w:rsid w:val="00EC18F4"/>
    <w:rsid w:val="00EC223D"/>
    <w:rsid w:val="00EC232B"/>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F0E0D"/>
    <w:rsid w:val="00EF1F75"/>
    <w:rsid w:val="00EF24D5"/>
    <w:rsid w:val="00EF3DF8"/>
    <w:rsid w:val="00EF4927"/>
    <w:rsid w:val="00EF49EB"/>
    <w:rsid w:val="00EF6063"/>
    <w:rsid w:val="00EF6C18"/>
    <w:rsid w:val="00EF7418"/>
    <w:rsid w:val="00F019BC"/>
    <w:rsid w:val="00F03071"/>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6F3E"/>
    <w:rsid w:val="00F26F8D"/>
    <w:rsid w:val="00F27398"/>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189E"/>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90556"/>
    <w:rsid w:val="00F9149C"/>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5EF"/>
    <w:rsid w:val="00FB1E19"/>
    <w:rsid w:val="00FB1EDE"/>
    <w:rsid w:val="00FB2566"/>
    <w:rsid w:val="00FB2AF2"/>
    <w:rsid w:val="00FB2EAD"/>
    <w:rsid w:val="00FB31E2"/>
    <w:rsid w:val="00FB38EB"/>
    <w:rsid w:val="00FB43B4"/>
    <w:rsid w:val="00FB5C26"/>
    <w:rsid w:val="00FB7BDE"/>
    <w:rsid w:val="00FC277D"/>
    <w:rsid w:val="00FC3B21"/>
    <w:rsid w:val="00FC423C"/>
    <w:rsid w:val="00FC435C"/>
    <w:rsid w:val="00FC4591"/>
    <w:rsid w:val="00FC5C54"/>
    <w:rsid w:val="00FC5D61"/>
    <w:rsid w:val="00FC67D6"/>
    <w:rsid w:val="00FC6DB2"/>
    <w:rsid w:val="00FD07E3"/>
    <w:rsid w:val="00FD32C2"/>
    <w:rsid w:val="00FD36B6"/>
    <w:rsid w:val="00FD3E6E"/>
    <w:rsid w:val="00FD503F"/>
    <w:rsid w:val="00FD50BC"/>
    <w:rsid w:val="00FE1066"/>
    <w:rsid w:val="00FE1648"/>
    <w:rsid w:val="00FE1D8A"/>
    <w:rsid w:val="00FE2958"/>
    <w:rsid w:val="00FE3AC0"/>
    <w:rsid w:val="00FE4476"/>
    <w:rsid w:val="00FE5BAE"/>
    <w:rsid w:val="00FE6A61"/>
    <w:rsid w:val="00FE6B22"/>
    <w:rsid w:val="00FE6C78"/>
    <w:rsid w:val="00FE7C14"/>
    <w:rsid w:val="00FE7F41"/>
    <w:rsid w:val="00FF02DF"/>
    <w:rsid w:val="00FF4D10"/>
    <w:rsid w:val="00FF5B50"/>
    <w:rsid w:val="00FF5C80"/>
    <w:rsid w:val="00FF65AB"/>
    <w:rsid w:val="00FF6EF8"/>
    <w:rsid w:val="016D1D26"/>
    <w:rsid w:val="01712C59"/>
    <w:rsid w:val="019224BE"/>
    <w:rsid w:val="02454DC9"/>
    <w:rsid w:val="02AD336F"/>
    <w:rsid w:val="02DB4857"/>
    <w:rsid w:val="02EA7AB7"/>
    <w:rsid w:val="0492290C"/>
    <w:rsid w:val="04973A9F"/>
    <w:rsid w:val="04F548E2"/>
    <w:rsid w:val="053E6976"/>
    <w:rsid w:val="060E0255"/>
    <w:rsid w:val="06BB7499"/>
    <w:rsid w:val="08610CD7"/>
    <w:rsid w:val="08AA0E57"/>
    <w:rsid w:val="08FF73B4"/>
    <w:rsid w:val="09004AA0"/>
    <w:rsid w:val="09141EC9"/>
    <w:rsid w:val="091B157F"/>
    <w:rsid w:val="092B7785"/>
    <w:rsid w:val="0948190B"/>
    <w:rsid w:val="09624B8B"/>
    <w:rsid w:val="0993037E"/>
    <w:rsid w:val="09BE0A46"/>
    <w:rsid w:val="0A872E9B"/>
    <w:rsid w:val="0AB319EF"/>
    <w:rsid w:val="0B7962BE"/>
    <w:rsid w:val="0B7A3780"/>
    <w:rsid w:val="0BA04D77"/>
    <w:rsid w:val="0C105DFF"/>
    <w:rsid w:val="0C684A5B"/>
    <w:rsid w:val="0CB5287D"/>
    <w:rsid w:val="0CFC317C"/>
    <w:rsid w:val="0E1F1149"/>
    <w:rsid w:val="0E603C3C"/>
    <w:rsid w:val="0EB46E08"/>
    <w:rsid w:val="0EC64E38"/>
    <w:rsid w:val="0EEC1973"/>
    <w:rsid w:val="0F264FE7"/>
    <w:rsid w:val="0F697888"/>
    <w:rsid w:val="0FAC7325"/>
    <w:rsid w:val="11367AC0"/>
    <w:rsid w:val="118D1664"/>
    <w:rsid w:val="11A101D6"/>
    <w:rsid w:val="11B248C8"/>
    <w:rsid w:val="11B83C77"/>
    <w:rsid w:val="120D6082"/>
    <w:rsid w:val="122711D7"/>
    <w:rsid w:val="13ED16DB"/>
    <w:rsid w:val="13F526AA"/>
    <w:rsid w:val="14CB5D17"/>
    <w:rsid w:val="14DF5063"/>
    <w:rsid w:val="15880C4C"/>
    <w:rsid w:val="15AC7766"/>
    <w:rsid w:val="15AE4939"/>
    <w:rsid w:val="163F2DDC"/>
    <w:rsid w:val="16A7036B"/>
    <w:rsid w:val="16AC344E"/>
    <w:rsid w:val="16C07B0A"/>
    <w:rsid w:val="170532D4"/>
    <w:rsid w:val="172604C7"/>
    <w:rsid w:val="1731523F"/>
    <w:rsid w:val="17C41358"/>
    <w:rsid w:val="17EA65DF"/>
    <w:rsid w:val="18003D99"/>
    <w:rsid w:val="185F6F6C"/>
    <w:rsid w:val="192D615C"/>
    <w:rsid w:val="19553A9D"/>
    <w:rsid w:val="195F3547"/>
    <w:rsid w:val="19826FA5"/>
    <w:rsid w:val="19877AF0"/>
    <w:rsid w:val="1A287223"/>
    <w:rsid w:val="1A8643A8"/>
    <w:rsid w:val="1A8C6CFD"/>
    <w:rsid w:val="1C3243D6"/>
    <w:rsid w:val="1C3A271C"/>
    <w:rsid w:val="1C6F4FB4"/>
    <w:rsid w:val="1C733AAB"/>
    <w:rsid w:val="1CC45CDD"/>
    <w:rsid w:val="1CCB791D"/>
    <w:rsid w:val="1DEE0CA9"/>
    <w:rsid w:val="1DF20628"/>
    <w:rsid w:val="1E2D620F"/>
    <w:rsid w:val="1EBF50DB"/>
    <w:rsid w:val="1F011828"/>
    <w:rsid w:val="204C132C"/>
    <w:rsid w:val="20D64653"/>
    <w:rsid w:val="20EE1616"/>
    <w:rsid w:val="21120767"/>
    <w:rsid w:val="212E2504"/>
    <w:rsid w:val="214B0C07"/>
    <w:rsid w:val="219963E6"/>
    <w:rsid w:val="21D302A6"/>
    <w:rsid w:val="23842798"/>
    <w:rsid w:val="245231DD"/>
    <w:rsid w:val="245F2657"/>
    <w:rsid w:val="25315A92"/>
    <w:rsid w:val="253B299A"/>
    <w:rsid w:val="25485B4A"/>
    <w:rsid w:val="257411BF"/>
    <w:rsid w:val="260F1BFD"/>
    <w:rsid w:val="26311470"/>
    <w:rsid w:val="264D746E"/>
    <w:rsid w:val="26705B30"/>
    <w:rsid w:val="268B18B9"/>
    <w:rsid w:val="26942845"/>
    <w:rsid w:val="26A5092E"/>
    <w:rsid w:val="26D24169"/>
    <w:rsid w:val="26FE1DEC"/>
    <w:rsid w:val="2782748C"/>
    <w:rsid w:val="27CE14F5"/>
    <w:rsid w:val="28603F2A"/>
    <w:rsid w:val="287B7E23"/>
    <w:rsid w:val="28D61C74"/>
    <w:rsid w:val="29626662"/>
    <w:rsid w:val="2A3113C8"/>
    <w:rsid w:val="2A446C83"/>
    <w:rsid w:val="2A812070"/>
    <w:rsid w:val="2A8617FE"/>
    <w:rsid w:val="2AC83AC9"/>
    <w:rsid w:val="2B590203"/>
    <w:rsid w:val="2B794137"/>
    <w:rsid w:val="2B9B099A"/>
    <w:rsid w:val="2C225C6C"/>
    <w:rsid w:val="2C7831FE"/>
    <w:rsid w:val="2C8F0EA7"/>
    <w:rsid w:val="2CAD66F4"/>
    <w:rsid w:val="2D5609E8"/>
    <w:rsid w:val="2DBA7A28"/>
    <w:rsid w:val="2E0E10F4"/>
    <w:rsid w:val="2F2B2ABE"/>
    <w:rsid w:val="2F377CAB"/>
    <w:rsid w:val="2F7215C9"/>
    <w:rsid w:val="2F753598"/>
    <w:rsid w:val="2FBE001C"/>
    <w:rsid w:val="2FCC5E07"/>
    <w:rsid w:val="2FF545D5"/>
    <w:rsid w:val="30247B0A"/>
    <w:rsid w:val="305E146C"/>
    <w:rsid w:val="319966F0"/>
    <w:rsid w:val="31EF64C7"/>
    <w:rsid w:val="32863A70"/>
    <w:rsid w:val="328E2276"/>
    <w:rsid w:val="32907C25"/>
    <w:rsid w:val="330F2322"/>
    <w:rsid w:val="33825FA4"/>
    <w:rsid w:val="33DB773D"/>
    <w:rsid w:val="346702DF"/>
    <w:rsid w:val="34820207"/>
    <w:rsid w:val="349F49A1"/>
    <w:rsid w:val="34AA5361"/>
    <w:rsid w:val="34D7553F"/>
    <w:rsid w:val="34F8202B"/>
    <w:rsid w:val="34FC3E0F"/>
    <w:rsid w:val="35270097"/>
    <w:rsid w:val="3536335A"/>
    <w:rsid w:val="36221F90"/>
    <w:rsid w:val="36315173"/>
    <w:rsid w:val="36C53D8A"/>
    <w:rsid w:val="36D130B5"/>
    <w:rsid w:val="37CD35DE"/>
    <w:rsid w:val="38232AA8"/>
    <w:rsid w:val="387404BE"/>
    <w:rsid w:val="389D3187"/>
    <w:rsid w:val="38B91C49"/>
    <w:rsid w:val="3984451E"/>
    <w:rsid w:val="39E958BC"/>
    <w:rsid w:val="39F84A46"/>
    <w:rsid w:val="3A1A1F1D"/>
    <w:rsid w:val="3A366C90"/>
    <w:rsid w:val="3A50783A"/>
    <w:rsid w:val="3AD2717E"/>
    <w:rsid w:val="3B4C6B7D"/>
    <w:rsid w:val="3C580635"/>
    <w:rsid w:val="3C896EB4"/>
    <w:rsid w:val="3CC50F8A"/>
    <w:rsid w:val="3CF26E83"/>
    <w:rsid w:val="3E6E56EE"/>
    <w:rsid w:val="3E831250"/>
    <w:rsid w:val="3EAF2D25"/>
    <w:rsid w:val="3F202D99"/>
    <w:rsid w:val="3F221C11"/>
    <w:rsid w:val="3FF172F2"/>
    <w:rsid w:val="3FF57DD8"/>
    <w:rsid w:val="400A4965"/>
    <w:rsid w:val="40291362"/>
    <w:rsid w:val="40B35F3C"/>
    <w:rsid w:val="413077BE"/>
    <w:rsid w:val="41492569"/>
    <w:rsid w:val="41B06152"/>
    <w:rsid w:val="42833F2C"/>
    <w:rsid w:val="42A34959"/>
    <w:rsid w:val="42AB29D0"/>
    <w:rsid w:val="42D515E8"/>
    <w:rsid w:val="432568B4"/>
    <w:rsid w:val="43416B84"/>
    <w:rsid w:val="43C5363E"/>
    <w:rsid w:val="43F0266D"/>
    <w:rsid w:val="44EF3FD1"/>
    <w:rsid w:val="4534045C"/>
    <w:rsid w:val="455E66B8"/>
    <w:rsid w:val="458F0387"/>
    <w:rsid w:val="46157C7E"/>
    <w:rsid w:val="461F17AF"/>
    <w:rsid w:val="46444555"/>
    <w:rsid w:val="4658384C"/>
    <w:rsid w:val="46735F83"/>
    <w:rsid w:val="46E6047B"/>
    <w:rsid w:val="47A32C15"/>
    <w:rsid w:val="47D33EDA"/>
    <w:rsid w:val="47F55DE4"/>
    <w:rsid w:val="47FC5A7C"/>
    <w:rsid w:val="48010ED3"/>
    <w:rsid w:val="48CA33FC"/>
    <w:rsid w:val="49316623"/>
    <w:rsid w:val="494372C0"/>
    <w:rsid w:val="4A091CE5"/>
    <w:rsid w:val="4A99106D"/>
    <w:rsid w:val="4AA83CE8"/>
    <w:rsid w:val="4BE909E0"/>
    <w:rsid w:val="4BEF1B80"/>
    <w:rsid w:val="4C290139"/>
    <w:rsid w:val="4C4C1669"/>
    <w:rsid w:val="4C7F6D10"/>
    <w:rsid w:val="4CB02CCD"/>
    <w:rsid w:val="4CFE5DCC"/>
    <w:rsid w:val="4D293DEA"/>
    <w:rsid w:val="4DD83BCC"/>
    <w:rsid w:val="4DFF1E22"/>
    <w:rsid w:val="4E5D3917"/>
    <w:rsid w:val="4EBD2B91"/>
    <w:rsid w:val="4F9F02E7"/>
    <w:rsid w:val="50130AE3"/>
    <w:rsid w:val="518976D2"/>
    <w:rsid w:val="519A667C"/>
    <w:rsid w:val="51CD421C"/>
    <w:rsid w:val="52935EE2"/>
    <w:rsid w:val="52A674AC"/>
    <w:rsid w:val="52B5636A"/>
    <w:rsid w:val="53072D70"/>
    <w:rsid w:val="53F01D34"/>
    <w:rsid w:val="54117B71"/>
    <w:rsid w:val="541A3E14"/>
    <w:rsid w:val="546D3EBE"/>
    <w:rsid w:val="547E7F44"/>
    <w:rsid w:val="54955781"/>
    <w:rsid w:val="54A203AA"/>
    <w:rsid w:val="54D10E25"/>
    <w:rsid w:val="55105D68"/>
    <w:rsid w:val="551F5FB4"/>
    <w:rsid w:val="55AA1478"/>
    <w:rsid w:val="55CC2F32"/>
    <w:rsid w:val="55D15107"/>
    <w:rsid w:val="5651762B"/>
    <w:rsid w:val="570A56DD"/>
    <w:rsid w:val="57730905"/>
    <w:rsid w:val="57C31339"/>
    <w:rsid w:val="58A14A23"/>
    <w:rsid w:val="58D14BE8"/>
    <w:rsid w:val="58E02A3F"/>
    <w:rsid w:val="58F05189"/>
    <w:rsid w:val="599810F5"/>
    <w:rsid w:val="59A1101C"/>
    <w:rsid w:val="59AF248B"/>
    <w:rsid w:val="59F111B9"/>
    <w:rsid w:val="5A15432B"/>
    <w:rsid w:val="5A1D1EFC"/>
    <w:rsid w:val="5A9C2C3E"/>
    <w:rsid w:val="5AD26541"/>
    <w:rsid w:val="5ADA6DD0"/>
    <w:rsid w:val="5AEF067F"/>
    <w:rsid w:val="5AF010F3"/>
    <w:rsid w:val="5B410FE4"/>
    <w:rsid w:val="5B9444F1"/>
    <w:rsid w:val="5BC052E6"/>
    <w:rsid w:val="5C024D2D"/>
    <w:rsid w:val="5C2E04A2"/>
    <w:rsid w:val="5C8117D5"/>
    <w:rsid w:val="5CD901EE"/>
    <w:rsid w:val="5CF05F2A"/>
    <w:rsid w:val="5CF323B1"/>
    <w:rsid w:val="5D054DA9"/>
    <w:rsid w:val="5D2D6E3D"/>
    <w:rsid w:val="5E097920"/>
    <w:rsid w:val="5E1C3E51"/>
    <w:rsid w:val="5F531564"/>
    <w:rsid w:val="5F6845F0"/>
    <w:rsid w:val="5FAB005C"/>
    <w:rsid w:val="5FE07B70"/>
    <w:rsid w:val="5FF42342"/>
    <w:rsid w:val="603879BD"/>
    <w:rsid w:val="606B6E69"/>
    <w:rsid w:val="608671E3"/>
    <w:rsid w:val="60912DAE"/>
    <w:rsid w:val="60944A0B"/>
    <w:rsid w:val="60AC578B"/>
    <w:rsid w:val="60B75E76"/>
    <w:rsid w:val="60D41974"/>
    <w:rsid w:val="60E82F6B"/>
    <w:rsid w:val="6154366A"/>
    <w:rsid w:val="61A70640"/>
    <w:rsid w:val="61B85B0B"/>
    <w:rsid w:val="6320666B"/>
    <w:rsid w:val="633E7ADE"/>
    <w:rsid w:val="63433366"/>
    <w:rsid w:val="63891D25"/>
    <w:rsid w:val="63A54A3C"/>
    <w:rsid w:val="63A66D11"/>
    <w:rsid w:val="63D63827"/>
    <w:rsid w:val="63F10251"/>
    <w:rsid w:val="641674F2"/>
    <w:rsid w:val="64CA5FFF"/>
    <w:rsid w:val="65546448"/>
    <w:rsid w:val="65711670"/>
    <w:rsid w:val="65AE7E08"/>
    <w:rsid w:val="65C63372"/>
    <w:rsid w:val="662C60B7"/>
    <w:rsid w:val="66613222"/>
    <w:rsid w:val="668C29E2"/>
    <w:rsid w:val="670575BF"/>
    <w:rsid w:val="67AE6531"/>
    <w:rsid w:val="67F23C6D"/>
    <w:rsid w:val="68E33569"/>
    <w:rsid w:val="691926A0"/>
    <w:rsid w:val="69E4001D"/>
    <w:rsid w:val="6A021836"/>
    <w:rsid w:val="6A095614"/>
    <w:rsid w:val="6A476297"/>
    <w:rsid w:val="6AEA3DA1"/>
    <w:rsid w:val="6AF07B7F"/>
    <w:rsid w:val="6B2F1B41"/>
    <w:rsid w:val="6B4E2D3E"/>
    <w:rsid w:val="6C091100"/>
    <w:rsid w:val="6C5279F0"/>
    <w:rsid w:val="6C530C66"/>
    <w:rsid w:val="6C8C3392"/>
    <w:rsid w:val="6E0C7AA8"/>
    <w:rsid w:val="6E1014A2"/>
    <w:rsid w:val="6E453474"/>
    <w:rsid w:val="6E550CC4"/>
    <w:rsid w:val="6EBC13EB"/>
    <w:rsid w:val="6F373C47"/>
    <w:rsid w:val="6F6F4C26"/>
    <w:rsid w:val="6FAA2A0F"/>
    <w:rsid w:val="70137FDF"/>
    <w:rsid w:val="703D77F4"/>
    <w:rsid w:val="70B43760"/>
    <w:rsid w:val="70DE0D35"/>
    <w:rsid w:val="70DF14BB"/>
    <w:rsid w:val="70E80619"/>
    <w:rsid w:val="70F01005"/>
    <w:rsid w:val="71216609"/>
    <w:rsid w:val="72195CC6"/>
    <w:rsid w:val="727A15DA"/>
    <w:rsid w:val="72BE6102"/>
    <w:rsid w:val="72DA63FB"/>
    <w:rsid w:val="734E594C"/>
    <w:rsid w:val="73584999"/>
    <w:rsid w:val="738A4F1A"/>
    <w:rsid w:val="74573835"/>
    <w:rsid w:val="748F3474"/>
    <w:rsid w:val="751737D1"/>
    <w:rsid w:val="75B46B29"/>
    <w:rsid w:val="75E7504D"/>
    <w:rsid w:val="75EF53B2"/>
    <w:rsid w:val="760B7E8B"/>
    <w:rsid w:val="76B10E65"/>
    <w:rsid w:val="76D01A14"/>
    <w:rsid w:val="779E1EC9"/>
    <w:rsid w:val="77B238DE"/>
    <w:rsid w:val="77D84893"/>
    <w:rsid w:val="78362761"/>
    <w:rsid w:val="786372CE"/>
    <w:rsid w:val="78D003F8"/>
    <w:rsid w:val="79522E9F"/>
    <w:rsid w:val="79BF4A66"/>
    <w:rsid w:val="79EA6FF3"/>
    <w:rsid w:val="79FF6F80"/>
    <w:rsid w:val="7A350790"/>
    <w:rsid w:val="7A8D2380"/>
    <w:rsid w:val="7AC23E20"/>
    <w:rsid w:val="7ACE7E0A"/>
    <w:rsid w:val="7B7A0FC8"/>
    <w:rsid w:val="7C015992"/>
    <w:rsid w:val="7CE92D02"/>
    <w:rsid w:val="7D893333"/>
    <w:rsid w:val="7E144D2B"/>
    <w:rsid w:val="7E400A43"/>
    <w:rsid w:val="7E6873EC"/>
    <w:rsid w:val="7EFE38AC"/>
    <w:rsid w:val="7F202C72"/>
    <w:rsid w:val="7FA53D28"/>
    <w:rsid w:val="7FAF54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next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next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56"/>
    <w:unhideWhenUsed/>
    <w:qFormat/>
    <w:uiPriority w:val="0"/>
    <w:pPr>
      <w:keepNext/>
      <w:keepLines/>
      <w:spacing w:before="240" w:after="64" w:line="320" w:lineRule="auto"/>
      <w:outlineLvl w:val="6"/>
    </w:pPr>
    <w:rPr>
      <w:b/>
      <w:bCs/>
      <w:szCs w:val="24"/>
    </w:rPr>
  </w:style>
  <w:style w:type="paragraph" w:styleId="9">
    <w:name w:val="heading 8"/>
    <w:basedOn w:val="1"/>
    <w:next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link w:val="61"/>
    <w:qFormat/>
    <w:uiPriority w:val="0"/>
    <w:pPr>
      <w:spacing w:after="120"/>
    </w:pPr>
    <w:rPr>
      <w:rFonts w:ascii="Times New Roman" w:hAnsi="Times New Roman" w:cs="Times New Roman"/>
      <w:szCs w:val="20"/>
    </w:rPr>
  </w:style>
  <w:style w:type="paragraph" w:styleId="19">
    <w:name w:val="Body Text Indent"/>
    <w:basedOn w:val="1"/>
    <w:link w:val="65"/>
    <w:qFormat/>
    <w:uiPriority w:val="99"/>
    <w:pPr>
      <w:spacing w:after="120"/>
      <w:ind w:left="420" w:leftChars="200"/>
    </w:pPr>
    <w:rPr>
      <w:rFonts w:ascii="Times New Roman" w:hAnsi="Times New Roman" w:cs="Times New Roman"/>
      <w:szCs w:val="24"/>
    </w:rPr>
  </w:style>
  <w:style w:type="paragraph" w:styleId="20">
    <w:name w:val="toc 5"/>
    <w:basedOn w:val="1"/>
    <w:next w:val="1"/>
    <w:unhideWhenUsed/>
    <w:qFormat/>
    <w:uiPriority w:val="0"/>
    <w:pPr>
      <w:ind w:left="960"/>
      <w:jc w:val="left"/>
    </w:pPr>
    <w:rPr>
      <w:sz w:val="18"/>
      <w:szCs w:val="18"/>
    </w:rPr>
  </w:style>
  <w:style w:type="paragraph" w:styleId="21">
    <w:name w:val="toc 3"/>
    <w:basedOn w:val="1"/>
    <w:next w:val="1"/>
    <w:unhideWhenUsed/>
    <w:qFormat/>
    <w:uiPriority w:val="39"/>
    <w:pPr>
      <w:ind w:left="480"/>
      <w:jc w:val="left"/>
    </w:pPr>
    <w:rPr>
      <w:i/>
      <w:sz w:val="22"/>
    </w:rPr>
  </w:style>
  <w:style w:type="paragraph" w:styleId="22">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3">
    <w:name w:val="toc 8"/>
    <w:basedOn w:val="1"/>
    <w:next w:val="1"/>
    <w:unhideWhenUsed/>
    <w:qFormat/>
    <w:uiPriority w:val="0"/>
    <w:pPr>
      <w:ind w:left="1680"/>
      <w:jc w:val="left"/>
    </w:pPr>
    <w:rPr>
      <w:sz w:val="18"/>
      <w:szCs w:val="18"/>
    </w:rPr>
  </w:style>
  <w:style w:type="paragraph" w:styleId="24">
    <w:name w:val="Date"/>
    <w:basedOn w:val="1"/>
    <w:next w:val="1"/>
    <w:link w:val="67"/>
    <w:unhideWhenUsed/>
    <w:qFormat/>
    <w:uiPriority w:val="0"/>
    <w:pPr>
      <w:ind w:left="100" w:leftChars="2500"/>
    </w:pPr>
  </w:style>
  <w:style w:type="paragraph" w:styleId="25">
    <w:name w:val="Body Text Indent 2"/>
    <w:basedOn w:val="1"/>
    <w:link w:val="68"/>
    <w:unhideWhenUsed/>
    <w:qFormat/>
    <w:uiPriority w:val="0"/>
    <w:pPr>
      <w:spacing w:after="120" w:line="480" w:lineRule="auto"/>
      <w:ind w:left="420" w:leftChars="200"/>
    </w:pPr>
    <w:rPr>
      <w:rFonts w:ascii="Calibri" w:hAnsi="Calibri"/>
    </w:rPr>
  </w:style>
  <w:style w:type="paragraph" w:styleId="26">
    <w:name w:val="Balloon Text"/>
    <w:basedOn w:val="1"/>
    <w:link w:val="69"/>
    <w:unhideWhenUsed/>
    <w:qFormat/>
    <w:uiPriority w:val="99"/>
    <w:rPr>
      <w:sz w:val="18"/>
      <w:szCs w:val="18"/>
    </w:rPr>
  </w:style>
  <w:style w:type="paragraph" w:styleId="27">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8">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29">
    <w:name w:val="toc 1"/>
    <w:basedOn w:val="1"/>
    <w:next w:val="1"/>
    <w:unhideWhenUsed/>
    <w:qFormat/>
    <w:uiPriority w:val="39"/>
    <w:pPr>
      <w:spacing w:before="120"/>
      <w:jc w:val="left"/>
    </w:pPr>
    <w:rPr>
      <w:b/>
      <w:caps/>
      <w:sz w:val="22"/>
    </w:rPr>
  </w:style>
  <w:style w:type="paragraph" w:styleId="30">
    <w:name w:val="toc 4"/>
    <w:basedOn w:val="1"/>
    <w:next w:val="1"/>
    <w:unhideWhenUsed/>
    <w:qFormat/>
    <w:uiPriority w:val="0"/>
    <w:pPr>
      <w:ind w:left="720"/>
      <w:jc w:val="left"/>
    </w:pPr>
    <w:rPr>
      <w:sz w:val="18"/>
      <w:szCs w:val="18"/>
    </w:rPr>
  </w:style>
  <w:style w:type="paragraph" w:styleId="31">
    <w:name w:val="toc 6"/>
    <w:basedOn w:val="1"/>
    <w:next w:val="1"/>
    <w:unhideWhenUsed/>
    <w:qFormat/>
    <w:uiPriority w:val="0"/>
    <w:pPr>
      <w:ind w:left="1200"/>
      <w:jc w:val="left"/>
    </w:pPr>
    <w:rPr>
      <w:sz w:val="18"/>
      <w:szCs w:val="18"/>
    </w:rPr>
  </w:style>
  <w:style w:type="paragraph" w:styleId="32">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3">
    <w:name w:val="table of figures"/>
    <w:basedOn w:val="1"/>
    <w:next w:val="1"/>
    <w:qFormat/>
    <w:uiPriority w:val="0"/>
    <w:pPr>
      <w:spacing w:line="360" w:lineRule="auto"/>
      <w:ind w:left="840" w:leftChars="200" w:hanging="420" w:hangingChars="200"/>
    </w:pPr>
    <w:rPr>
      <w:rFonts w:ascii="Times New Roman" w:hAnsi="Times New Roman" w:cs="Times New Roman"/>
      <w:szCs w:val="20"/>
    </w:rPr>
  </w:style>
  <w:style w:type="paragraph" w:styleId="34">
    <w:name w:val="toc 2"/>
    <w:basedOn w:val="1"/>
    <w:next w:val="1"/>
    <w:unhideWhenUsed/>
    <w:qFormat/>
    <w:uiPriority w:val="39"/>
    <w:pPr>
      <w:ind w:left="240"/>
      <w:jc w:val="left"/>
    </w:pPr>
    <w:rPr>
      <w:smallCaps/>
      <w:sz w:val="22"/>
    </w:rPr>
  </w:style>
  <w:style w:type="paragraph" w:styleId="35">
    <w:name w:val="toc 9"/>
    <w:basedOn w:val="1"/>
    <w:next w:val="1"/>
    <w:unhideWhenUsed/>
    <w:qFormat/>
    <w:uiPriority w:val="0"/>
    <w:pPr>
      <w:ind w:left="1920"/>
      <w:jc w:val="left"/>
    </w:pPr>
    <w:rPr>
      <w:sz w:val="18"/>
      <w:szCs w:val="18"/>
    </w:rPr>
  </w:style>
  <w:style w:type="paragraph" w:styleId="36">
    <w:name w:val="Body Text 2"/>
    <w:basedOn w:val="1"/>
    <w:link w:val="73"/>
    <w:qFormat/>
    <w:uiPriority w:val="0"/>
    <w:pPr>
      <w:spacing w:after="120" w:line="480" w:lineRule="auto"/>
    </w:pPr>
    <w:rPr>
      <w:rFonts w:ascii="Times New Roman" w:hAnsi="Times New Roman" w:cs="Times New Roman"/>
      <w:szCs w:val="20"/>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next w:val="1"/>
    <w:qFormat/>
    <w:uiPriority w:val="0"/>
    <w:pPr>
      <w:jc w:val="center"/>
    </w:pPr>
    <w:rPr>
      <w:rFonts w:ascii="仿宋_GB2312" w:hAnsi="Times New Roman" w:eastAsia="仿宋_GB2312" w:cs="Times New Roman"/>
      <w:b/>
      <w:bCs/>
      <w:sz w:val="28"/>
      <w:szCs w:val="20"/>
    </w:rPr>
  </w:style>
  <w:style w:type="paragraph" w:styleId="40">
    <w:name w:val="annotation subject"/>
    <w:basedOn w:val="17"/>
    <w:next w:val="17"/>
    <w:link w:val="60"/>
    <w:unhideWhenUsed/>
    <w:qFormat/>
    <w:uiPriority w:val="99"/>
    <w:rPr>
      <w:b/>
      <w:bCs/>
    </w:rPr>
  </w:style>
  <w:style w:type="paragraph" w:styleId="41">
    <w:name w:val="Body Text First Indent"/>
    <w:basedOn w:val="18"/>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eastAsia="宋体"/>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19"/>
    <w:qFormat/>
    <w:uiPriority w:val="99"/>
    <w:rPr>
      <w:rFonts w:ascii="Times New Roman" w:hAnsi="Times New Roman" w:eastAsia="宋体" w:cs="Times New Roman"/>
      <w:szCs w:val="24"/>
    </w:rPr>
  </w:style>
  <w:style w:type="character" w:customStyle="1" w:styleId="66">
    <w:name w:val="纯文本 字符"/>
    <w:link w:val="22"/>
    <w:qFormat/>
    <w:uiPriority w:val="0"/>
    <w:rPr>
      <w:rFonts w:ascii="宋体" w:hAnsi="Courier New" w:eastAsia="宋体"/>
      <w:szCs w:val="20"/>
    </w:rPr>
  </w:style>
  <w:style w:type="character" w:customStyle="1" w:styleId="67">
    <w:name w:val="日期 字符"/>
    <w:basedOn w:val="44"/>
    <w:link w:val="24"/>
    <w:qFormat/>
    <w:uiPriority w:val="0"/>
  </w:style>
  <w:style w:type="character" w:customStyle="1" w:styleId="68">
    <w:name w:val="正文文本缩进 2 字符"/>
    <w:link w:val="25"/>
    <w:qFormat/>
    <w:uiPriority w:val="0"/>
    <w:rPr>
      <w:rFonts w:ascii="Calibri" w:hAnsi="Calibri"/>
    </w:rPr>
  </w:style>
  <w:style w:type="character" w:customStyle="1" w:styleId="69">
    <w:name w:val="批注框文本 字符"/>
    <w:basedOn w:val="44"/>
    <w:link w:val="26"/>
    <w:qFormat/>
    <w:uiPriority w:val="99"/>
    <w:rPr>
      <w:sz w:val="18"/>
      <w:szCs w:val="18"/>
    </w:rPr>
  </w:style>
  <w:style w:type="character" w:customStyle="1" w:styleId="70">
    <w:name w:val="页脚 字符"/>
    <w:basedOn w:val="44"/>
    <w:link w:val="27"/>
    <w:qFormat/>
    <w:uiPriority w:val="99"/>
    <w:rPr>
      <w:rFonts w:ascii="Times New Roman" w:hAnsi="Times New Roman" w:eastAsia="宋体" w:cs="Times New Roman"/>
      <w:sz w:val="18"/>
      <w:szCs w:val="20"/>
    </w:rPr>
  </w:style>
  <w:style w:type="character" w:customStyle="1" w:styleId="71">
    <w:name w:val="页眉 字符"/>
    <w:basedOn w:val="44"/>
    <w:link w:val="28"/>
    <w:qFormat/>
    <w:uiPriority w:val="99"/>
    <w:rPr>
      <w:rFonts w:ascii="Times New Roman" w:hAnsi="Times New Roman" w:eastAsia="宋体" w:cs="Times New Roman"/>
      <w:sz w:val="18"/>
      <w:szCs w:val="20"/>
    </w:rPr>
  </w:style>
  <w:style w:type="character" w:customStyle="1" w:styleId="72">
    <w:name w:val="正文文本缩进 3 字符"/>
    <w:basedOn w:val="44"/>
    <w:link w:val="32"/>
    <w:semiHidden/>
    <w:qFormat/>
    <w:uiPriority w:val="99"/>
    <w:rPr>
      <w:sz w:val="16"/>
      <w:szCs w:val="16"/>
    </w:rPr>
  </w:style>
  <w:style w:type="character" w:customStyle="1" w:styleId="73">
    <w:name w:val="正文文本 2 字符"/>
    <w:basedOn w:val="44"/>
    <w:link w:val="36"/>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0"/>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textAlignment w:val="baseline"/>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next w:val="80"/>
    <w:link w:val="83"/>
    <w:qFormat/>
    <w:uiPriority w:val="0"/>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next w:val="80"/>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next w:val="80"/>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next w:val="80"/>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next w:val="80"/>
    <w:qFormat/>
    <w:uiPriority w:val="0"/>
    <w:pPr>
      <w:outlineLvl w:val="4"/>
    </w:pPr>
    <w:rPr>
      <w:bCs/>
    </w:rPr>
  </w:style>
  <w:style w:type="paragraph" w:customStyle="1" w:styleId="91">
    <w:name w:val="GW-标题6"/>
    <w:basedOn w:val="90"/>
    <w:next w:val="80"/>
    <w:qFormat/>
    <w:uiPriority w:val="0"/>
    <w:pPr>
      <w:snapToGrid w:val="0"/>
      <w:outlineLvl w:val="5"/>
    </w:pPr>
    <w:rPr>
      <w:bCs w:val="0"/>
      <w:sz w:val="24"/>
    </w:rPr>
  </w:style>
  <w:style w:type="paragraph" w:customStyle="1" w:styleId="92">
    <w:name w:val="GW-标题7"/>
    <w:basedOn w:val="91"/>
    <w:next w:val="80"/>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locked/>
    <w:uiPriority w:val="0"/>
    <w:rPr>
      <w:rFonts w:ascii="Calibri" w:hAnsi="Calibri" w:eastAsia="宋体" w:cs="Times New Roman"/>
      <w:kern w:val="0"/>
      <w:sz w:val="22"/>
      <w:szCs w:val="20"/>
    </w:rPr>
  </w:style>
  <w:style w:type="paragraph" w:customStyle="1" w:styleId="110">
    <w:name w:val="GW-标题8"/>
    <w:basedOn w:val="92"/>
    <w:next w:val="80"/>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next w:val="132"/>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locked/>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next w:val="18"/>
    <w:qFormat/>
    <w:uiPriority w:val="0"/>
    <w:pPr>
      <w:numPr>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textAlignment w:val="baseline"/>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next w:val="18"/>
    <w:qFormat/>
    <w:uiPriority w:val="0"/>
    <w:pPr>
      <w:numPr>
        <w:numId w:val="7"/>
      </w:numPr>
      <w:tabs>
        <w:tab w:val="left" w:pos="961"/>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next w:val="13"/>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next w:val="1"/>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next w:val="18"/>
    <w:qFormat/>
    <w:uiPriority w:val="0"/>
    <w:pPr>
      <w:numPr>
        <w:numId w:val="7"/>
      </w:numPr>
      <w:tabs>
        <w:tab w:val="left" w:pos="961"/>
        <w:tab w:val="left" w:pos="1441"/>
      </w:tabs>
    </w:pPr>
    <w:rPr>
      <w:rFonts w:ascii="Cambria" w:hAnsi="Cambria" w:eastAsia="宋体" w:cs="Times New Roman"/>
      <w:sz w:val="30"/>
    </w:rPr>
  </w:style>
  <w:style w:type="paragraph" w:customStyle="1" w:styleId="175">
    <w:name w:val="段落标题"/>
    <w:basedOn w:val="1"/>
    <w:next w:val="13"/>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next w:val="18"/>
    <w:qFormat/>
    <w:uiPriority w:val="0"/>
    <w:pPr>
      <w:numPr>
        <w:ilvl w:val="0"/>
        <w:numId w:val="7"/>
      </w:numPr>
    </w:pPr>
    <w:rPr>
      <w:rFonts w:ascii="Cambria" w:hAnsi="Cambria" w:eastAsia="宋体" w:cs="Times New Roman"/>
      <w:b w:val="0"/>
    </w:rPr>
  </w:style>
  <w:style w:type="paragraph" w:customStyle="1" w:styleId="178">
    <w:name w:val="多级标题5"/>
    <w:basedOn w:val="6"/>
    <w:next w:val="18"/>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napToGrid w:val="0"/>
      <w:spacing w:val="4"/>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45901-3F8A-4015-A380-C7DCA120690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17681</Words>
  <Characters>18995</Characters>
  <Lines>142</Lines>
  <Paragraphs>40</Paragraphs>
  <TotalTime>0</TotalTime>
  <ScaleCrop>false</ScaleCrop>
  <LinksUpToDate>false</LinksUpToDate>
  <CharactersWithSpaces>19363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艳艳子</cp:lastModifiedBy>
  <cp:lastPrinted>2022-04-11T00:54:00Z</cp:lastPrinted>
  <dcterms:modified xsi:type="dcterms:W3CDTF">2022-05-24T04:43:23Z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5F78302DD2EB4C5B9758703B822FD7DB</vt:lpwstr>
  </property>
</Properties>
</file>