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firstLine="562" w:firstLineChars="200"/>
        <w:jc w:val="center"/>
        <w:textAlignment w:val="auto"/>
        <w:rPr>
          <w:rFonts w:ascii="宋体" w:hAnsi="宋体" w:eastAsia="宋体" w:cs="Times New Roman"/>
          <w:b/>
          <w:snapToGrid w:val="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snapToGrid w:val="0"/>
          <w:kern w:val="0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Times New Roman"/>
          <w:b/>
          <w:snapToGrid w:val="0"/>
          <w:kern w:val="0"/>
          <w:sz w:val="28"/>
          <w:szCs w:val="28"/>
        </w:rPr>
        <w:t>评分标准</w:t>
      </w:r>
    </w:p>
    <w:bookmarkEnd w:id="0"/>
    <w:tbl>
      <w:tblPr>
        <w:tblStyle w:val="8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13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细目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评审内容说明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楷体" w:hAnsi="楷体" w:eastAsia="楷体" w:cs="Times New Roman"/>
                <w:sz w:val="24"/>
              </w:rPr>
              <w:t>立项背景和依据(10分）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1.1 研究目的意义</w:t>
            </w:r>
          </w:p>
          <w:p>
            <w:pPr>
              <w:spacing w:line="360" w:lineRule="auto"/>
              <w:rPr>
                <w:rFonts w:hint="eastAsia" w:ascii="Times New Roman" w:hAnsi="Times New Roman" w:eastAsia="楷体" w:cs="Times New Roma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是否正确理解项目研究目的及意义，整体研究方向是否符合项目需求。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1.2 相关研究状况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梳理相关研究状况是否全面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研究方案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（50分）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2.1 主要研究内容、预期目标以及主要考核指标（15分）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（1）申报单位整体研究方案是否符合项目要求（具体要求详见公告中项目内容）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（2）申报单位具体研究方案是否细化，整体项目实施是否能达到项目预期效果。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12-15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2.2 研究方法、技术路线及本课题的创新之处（20分）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研究思路是否清晰，目标是否明确；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研究方法是否科学、可行；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研究手段是否先进</w:t>
            </w:r>
            <w:r>
              <w:rPr>
                <w:rFonts w:hint="eastAsia" w:ascii="楷体" w:hAnsi="楷体" w:eastAsia="楷体" w:cs="Times New Roman"/>
                <w:sz w:val="24"/>
              </w:rPr>
              <w:t>；</w:t>
            </w:r>
          </w:p>
          <w:p>
            <w:pPr>
              <w:spacing w:line="360" w:lineRule="auto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（4）技术路线是否科学、合理，课题研究是否有创新之处。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0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良（11-15分） 一般（6-10分）差（0-5）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2.3 计划进度和阶段目标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计划进度安排是否合理，能否满足项目规定要求；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各阶段计划进度时间是否与阶段性目标相匹配。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2.4 预期研究成果及形式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（1）预期研究成果是否明确，有针对性；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（2）梳理形成相关报告成果内容是否全面、完整。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2.5 经费预算（5分）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经费测算合理，符合项目实施需要。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优（4-5分）一般（0-3分）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3.研究基础与组织实施条件（40分）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3.1 相关研究工作积累和已取得的研究工作成果（10分）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是否已有与本课题有关的研究工作积累和已取得的研究工作成果（包括近期发表的与本课题有关的主要论著、获得学术奖励的情况、正在承担的有关研究项目等）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9-10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6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3.2 项目承担团队（15分）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（1）课题负责人是否具有独立开展研究和组织开展研究的能力，能够承担实质性研究工作；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（2）项目承担团队结构合理、人数充足，各类型人员配备齐全。研究团队业务素质水平符合项目要求。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优（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12-15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良（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9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1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 一般（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5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8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分）差（0-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4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3.3 组织实施条件（15分）</w:t>
            </w:r>
          </w:p>
        </w:tc>
        <w:tc>
          <w:tcPr>
            <w:tcW w:w="64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申报单位课题实施的优势条件，如调研基础、调研资源、调研渠道等方面优势。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优（12-15分） 良（9-11分） 一般（5-8分）差（0-4）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26088"/>
    <w:multiLevelType w:val="singleLevel"/>
    <w:tmpl w:val="4B02608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B912A4"/>
    <w:multiLevelType w:val="singleLevel"/>
    <w:tmpl w:val="4CB9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67D4C20"/>
    <w:multiLevelType w:val="singleLevel"/>
    <w:tmpl w:val="667D4C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jYyMDY3YTlkZmNhYzg5MTkzZDUzMjczYmRjMDAifQ=="/>
  </w:docVars>
  <w:rsids>
    <w:rsidRoot w:val="38061DD5"/>
    <w:rsid w:val="380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tabs>
        <w:tab w:val="left" w:pos="1080"/>
      </w:tabs>
      <w:spacing w:line="36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Plain Text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1"/>
      <w:szCs w:val="20"/>
      <w:lang w:val="en-US" w:eastAsia="zh-CN" w:bidi="ar-SA"/>
    </w:rPr>
  </w:style>
  <w:style w:type="paragraph" w:styleId="4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2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2022-09-27T08:39:00Z</dcterms:created>
  <dc:creator>空城</dc:creator>
  <cp:lastModifiedBy>空城</cp:lastModifiedBy>
  <dcterms:modified xsi:type="dcterms:W3CDTF">2022-09-27T08:40:51Z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620A448D3D8E417281D3CA8A4601717A</vt:lpwstr>
  </property>
</Properties>
</file>