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52AE5D4E">
      <w:pPr>
        <w:pStyle w:val="108"/>
        <w:ind w:firstLine="0" w:firstLineChars="0"/>
        <w:jc w:val="center"/>
        <w:rPr>
          <w:rFonts w:ascii="Times New Roman" w:hAnsi="Times New Roman" w:eastAsiaTheme="minorEastAsia"/>
          <w:highlight w:val="none"/>
        </w:rPr>
      </w:pPr>
    </w:p>
    <w:p w14:paraId="063E5BCC">
      <w:pPr>
        <w:spacing w:line="900" w:lineRule="exact"/>
        <w:jc w:val="center"/>
        <w:rPr>
          <w:rFonts w:ascii="Times New Roman" w:hAnsi="Times New Roman" w:eastAsia="方正黑体_GBK" w:cs="Times New Roman"/>
          <w:b/>
          <w:sz w:val="44"/>
          <w:szCs w:val="44"/>
          <w:highlight w:val="none"/>
        </w:rPr>
      </w:pPr>
      <w:r>
        <w:rPr>
          <w:rFonts w:ascii="Times New Roman" w:hAnsi="Times New Roman" w:eastAsia="方正黑体_GBK" w:cs="Times New Roman"/>
          <w:b/>
          <w:sz w:val="44"/>
          <w:szCs w:val="44"/>
          <w:highlight w:val="none"/>
        </w:rPr>
        <w:t>重庆财经学院</w:t>
      </w:r>
    </w:p>
    <w:p w14:paraId="4A7EFFE9">
      <w:pPr>
        <w:spacing w:line="900" w:lineRule="exact"/>
        <w:jc w:val="center"/>
        <w:rPr>
          <w:rFonts w:hint="default" w:ascii="Times New Roman" w:hAnsi="Times New Roman" w:eastAsia="方正黑体_GBK" w:cs="Times New Roman"/>
          <w:b/>
          <w:color w:val="FF0000"/>
          <w:sz w:val="44"/>
          <w:szCs w:val="44"/>
          <w:highlight w:val="none"/>
          <w:lang w:val="en-US" w:eastAsia="zh-CN"/>
        </w:rPr>
      </w:pPr>
      <w:r>
        <w:rPr>
          <w:rFonts w:hint="eastAsia" w:ascii="Times New Roman" w:hAnsi="Times New Roman" w:eastAsia="方正黑体_GBK" w:cs="Times New Roman"/>
          <w:b/>
          <w:sz w:val="44"/>
          <w:szCs w:val="44"/>
          <w:highlight w:val="none"/>
          <w:lang w:eastAsia="zh-CN"/>
        </w:rPr>
        <w:t>固定资产管理系统建设采购项目</w:t>
      </w:r>
    </w:p>
    <w:p w14:paraId="3960A5A2">
      <w:pPr>
        <w:spacing w:line="900" w:lineRule="exact"/>
        <w:jc w:val="center"/>
        <w:rPr>
          <w:rFonts w:ascii="Times New Roman" w:hAnsi="Times New Roman" w:cs="Times New Roman" w:eastAsiaTheme="minorEastAsia"/>
          <w:b/>
          <w:sz w:val="30"/>
          <w:szCs w:val="30"/>
          <w:highlight w:val="none"/>
        </w:rPr>
      </w:pPr>
    </w:p>
    <w:p w14:paraId="4BBF0ACC">
      <w:pPr>
        <w:spacing w:line="900" w:lineRule="exact"/>
        <w:jc w:val="center"/>
        <w:rPr>
          <w:rFonts w:ascii="Times New Roman" w:hAnsi="Times New Roman" w:cs="Times New Roman" w:eastAsiaTheme="minorEastAsia"/>
          <w:b/>
          <w:sz w:val="30"/>
          <w:szCs w:val="30"/>
          <w:highlight w:val="none"/>
        </w:rPr>
      </w:pPr>
    </w:p>
    <w:p w14:paraId="2399F521">
      <w:pPr>
        <w:spacing w:line="900" w:lineRule="exact"/>
        <w:jc w:val="center"/>
        <w:rPr>
          <w:rFonts w:ascii="Times New Roman" w:hAnsi="Times New Roman" w:cs="Times New Roman" w:eastAsiaTheme="minorEastAsia"/>
          <w:b/>
          <w:sz w:val="30"/>
          <w:szCs w:val="30"/>
          <w:highlight w:val="none"/>
        </w:rPr>
      </w:pPr>
    </w:p>
    <w:p w14:paraId="7B0E10DE">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招</w:t>
      </w:r>
    </w:p>
    <w:p w14:paraId="65AA0FE7">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标</w:t>
      </w:r>
    </w:p>
    <w:p w14:paraId="4831097A">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文</w:t>
      </w:r>
    </w:p>
    <w:p w14:paraId="1C457121">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件</w:t>
      </w:r>
    </w:p>
    <w:p w14:paraId="2F11B05E">
      <w:pPr>
        <w:spacing w:after="120" w:afterLines="50"/>
        <w:rPr>
          <w:rFonts w:ascii="Times New Roman" w:hAnsi="Times New Roman" w:cs="Times New Roman" w:eastAsiaTheme="minorEastAsia"/>
          <w:b/>
          <w:sz w:val="72"/>
          <w:highlight w:val="none"/>
        </w:rPr>
      </w:pPr>
    </w:p>
    <w:p w14:paraId="4590F25E">
      <w:pPr>
        <w:tabs>
          <w:tab w:val="left" w:pos="5641"/>
        </w:tabs>
        <w:spacing w:after="120" w:afterLines="50" w:line="500" w:lineRule="exact"/>
        <w:ind w:firstLine="1979" w:firstLineChars="618"/>
        <w:rPr>
          <w:rFonts w:ascii="Times New Roman" w:hAnsi="Times New Roman" w:eastAsia="方正黑体_GBK" w:cs="Times New Roman"/>
          <w:b/>
          <w:sz w:val="32"/>
          <w:highlight w:val="none"/>
        </w:rPr>
      </w:pPr>
      <w:r>
        <w:rPr>
          <w:rFonts w:hint="eastAsia" w:ascii="Times New Roman" w:hAnsi="Times New Roman" w:eastAsia="方正黑体_GBK" w:cs="Times New Roman"/>
          <w:b/>
          <w:sz w:val="32"/>
          <w:highlight w:val="none"/>
        </w:rPr>
        <w:tab/>
      </w:r>
    </w:p>
    <w:p w14:paraId="64AEEA3F">
      <w:pPr>
        <w:spacing w:after="120" w:afterLines="50" w:line="500" w:lineRule="exact"/>
        <w:ind w:firstLine="1979" w:firstLineChars="618"/>
        <w:rPr>
          <w:rFonts w:ascii="Times New Roman" w:hAnsi="Times New Roman" w:eastAsia="方正黑体_GBK" w:cs="Times New Roman"/>
          <w:b/>
          <w:sz w:val="32"/>
          <w:highlight w:val="none"/>
        </w:rPr>
      </w:pPr>
    </w:p>
    <w:p w14:paraId="255D5485">
      <w:pPr>
        <w:spacing w:after="120" w:afterLines="50" w:line="500" w:lineRule="exact"/>
        <w:ind w:firstLine="1979" w:firstLineChars="618"/>
        <w:rPr>
          <w:rFonts w:ascii="Times New Roman" w:hAnsi="Times New Roman" w:eastAsia="方正黑体_GBK" w:cs="Times New Roman"/>
          <w:b/>
          <w:sz w:val="32"/>
          <w:highlight w:val="none"/>
        </w:rPr>
      </w:pPr>
      <w:r>
        <w:rPr>
          <w:rFonts w:ascii="Times New Roman" w:hAnsi="Times New Roman" w:eastAsia="方正黑体_GBK" w:cs="Times New Roman"/>
          <w:b/>
          <w:sz w:val="32"/>
          <w:highlight w:val="none"/>
        </w:rPr>
        <w:t>招标人：重庆财经学院</w:t>
      </w:r>
    </w:p>
    <w:p w14:paraId="3F3D144A">
      <w:pPr>
        <w:spacing w:after="120" w:afterLines="50" w:line="500" w:lineRule="exact"/>
        <w:ind w:firstLine="1979" w:firstLineChars="618"/>
        <w:rPr>
          <w:rFonts w:ascii="Times New Roman" w:hAnsi="Times New Roman" w:eastAsia="方正黑体_GBK" w:cs="Times New Roman"/>
          <w:b/>
          <w:color w:val="0000FF"/>
          <w:sz w:val="32"/>
          <w:highlight w:val="none"/>
        </w:rPr>
      </w:pPr>
      <w:r>
        <w:rPr>
          <w:rFonts w:ascii="Times New Roman" w:hAnsi="Times New Roman" w:eastAsia="方正黑体_GBK" w:cs="Times New Roman"/>
          <w:b/>
          <w:sz w:val="32"/>
          <w:highlight w:val="none"/>
        </w:rPr>
        <w:t>招标日期：</w:t>
      </w:r>
      <w:r>
        <w:rPr>
          <w:rFonts w:ascii="Times New Roman" w:hAnsi="Times New Roman" w:eastAsia="方正黑体_GBK" w:cs="Times New Roman"/>
          <w:b/>
          <w:color w:val="auto"/>
          <w:sz w:val="32"/>
          <w:highlight w:val="none"/>
        </w:rPr>
        <w:t>202</w:t>
      </w:r>
      <w:r>
        <w:rPr>
          <w:rFonts w:hint="eastAsia" w:ascii="Times New Roman" w:hAnsi="Times New Roman" w:eastAsia="方正黑体_GBK" w:cs="Times New Roman"/>
          <w:b/>
          <w:color w:val="auto"/>
          <w:sz w:val="32"/>
          <w:highlight w:val="none"/>
          <w:lang w:val="en-US" w:eastAsia="zh-CN"/>
        </w:rPr>
        <w:t>6</w:t>
      </w:r>
      <w:r>
        <w:rPr>
          <w:rFonts w:ascii="Times New Roman" w:hAnsi="Times New Roman" w:eastAsia="方正黑体_GBK" w:cs="Times New Roman"/>
          <w:b/>
          <w:color w:val="auto"/>
          <w:sz w:val="32"/>
          <w:highlight w:val="none"/>
        </w:rPr>
        <w:t>年</w:t>
      </w:r>
      <w:r>
        <w:rPr>
          <w:rFonts w:hint="eastAsia" w:ascii="Times New Roman" w:hAnsi="Times New Roman" w:eastAsia="方正黑体_GBK" w:cs="Times New Roman"/>
          <w:b/>
          <w:color w:val="auto"/>
          <w:sz w:val="32"/>
          <w:highlight w:val="none"/>
          <w:lang w:val="en-US" w:eastAsia="zh-CN"/>
        </w:rPr>
        <w:t>4</w:t>
      </w:r>
      <w:r>
        <w:rPr>
          <w:rFonts w:ascii="Times New Roman" w:hAnsi="Times New Roman" w:eastAsia="方正黑体_GBK" w:cs="Times New Roman"/>
          <w:b/>
          <w:color w:val="auto"/>
          <w:sz w:val="32"/>
          <w:highlight w:val="none"/>
        </w:rPr>
        <w:t>月</w:t>
      </w:r>
    </w:p>
    <w:p w14:paraId="079325BC">
      <w:pPr>
        <w:pStyle w:val="194"/>
        <w:jc w:val="center"/>
        <w:rPr>
          <w:rFonts w:ascii="Times New Roman" w:hAnsi="Times New Roman" w:eastAsia="宋体" w:cs="Times New Roman"/>
          <w:b w:val="0"/>
          <w:bCs w:val="0"/>
          <w:color w:val="auto"/>
          <w:kern w:val="2"/>
          <w:sz w:val="36"/>
          <w:szCs w:val="36"/>
          <w:highlight w:val="none"/>
          <w:lang w:val="zh-CN"/>
        </w:rPr>
      </w:pPr>
    </w:p>
    <w:sdt>
      <w:sdtPr>
        <w:rPr>
          <w:rFonts w:ascii="Times New Roman" w:hAnsi="Times New Roman" w:eastAsia="宋体" w:cs="Times New Roman"/>
          <w:b w:val="0"/>
          <w:bCs w:val="0"/>
          <w:color w:val="auto"/>
          <w:kern w:val="2"/>
          <w:sz w:val="36"/>
          <w:szCs w:val="36"/>
          <w:highlight w:val="none"/>
          <w:lang w:val="zh-CN"/>
        </w:rPr>
        <w:id w:val="99690147"/>
      </w:sdtPr>
      <w:sdtEndPr>
        <w:rPr>
          <w:rFonts w:ascii="Times New Roman" w:hAnsi="Times New Roman" w:eastAsia="方正黑体_GBK" w:cs="Times New Roman"/>
          <w:b w:val="0"/>
          <w:bCs w:val="0"/>
          <w:color w:val="auto"/>
          <w:kern w:val="2"/>
          <w:sz w:val="24"/>
          <w:szCs w:val="24"/>
          <w:highlight w:val="none"/>
          <w:lang w:val="zh-CN"/>
        </w:rPr>
      </w:sdtEndPr>
      <w:sdtContent>
        <w:sdt>
          <w:sdtPr>
            <w:rPr>
              <w:rFonts w:hint="eastAsia" w:ascii="宋体" w:hAnsi="宋体" w:eastAsia="宋体" w:cs="宋体"/>
              <w:b w:val="0"/>
              <w:bCs w:val="0"/>
              <w:color w:val="auto"/>
              <w:kern w:val="2"/>
              <w:sz w:val="36"/>
              <w:szCs w:val="36"/>
              <w:highlight w:val="none"/>
              <w:lang w:val="zh-CN"/>
            </w:rPr>
            <w:id w:val="147462012"/>
          </w:sdtPr>
          <w:sdtEndPr>
            <w:rPr>
              <w:rFonts w:hint="eastAsia" w:ascii="方正黑体_GBK" w:hAnsi="方正黑体_GBK" w:eastAsia="方正黑体_GBK" w:cs="方正黑体_GBK"/>
              <w:b w:val="0"/>
              <w:bCs w:val="0"/>
              <w:color w:val="auto"/>
              <w:kern w:val="2"/>
              <w:sz w:val="24"/>
              <w:szCs w:val="24"/>
              <w:highlight w:val="none"/>
              <w:lang w:val="zh-CN"/>
            </w:rPr>
          </w:sdtEndPr>
          <w:sdtContent>
            <w:p w14:paraId="1473375C">
              <w:pPr>
                <w:pStyle w:val="194"/>
                <w:jc w:val="center"/>
                <w:rPr>
                  <w:rFonts w:hint="eastAsia" w:ascii="宋体" w:hAnsi="宋体" w:eastAsia="宋体" w:cs="宋体"/>
                  <w:b w:val="0"/>
                  <w:bCs w:val="0"/>
                  <w:color w:val="auto"/>
                  <w:kern w:val="2"/>
                  <w:sz w:val="36"/>
                  <w:szCs w:val="36"/>
                  <w:highlight w:val="none"/>
                  <w:lang w:val="zh-CN"/>
                </w:rPr>
              </w:pPr>
            </w:p>
            <w:p w14:paraId="6BD03663">
              <w:pPr>
                <w:rPr>
                  <w:rFonts w:hint="eastAsia" w:ascii="宋体" w:hAnsi="宋体" w:eastAsia="宋体" w:cs="宋体"/>
                  <w:b w:val="0"/>
                  <w:bCs w:val="0"/>
                  <w:color w:val="auto"/>
                  <w:kern w:val="2"/>
                  <w:sz w:val="36"/>
                  <w:szCs w:val="36"/>
                  <w:highlight w:val="none"/>
                  <w:lang w:val="zh-CN"/>
                </w:rPr>
              </w:pPr>
              <w:r>
                <w:rPr>
                  <w:rFonts w:hint="eastAsia" w:ascii="宋体" w:hAnsi="宋体" w:eastAsia="宋体" w:cs="宋体"/>
                  <w:b w:val="0"/>
                  <w:bCs w:val="0"/>
                  <w:color w:val="auto"/>
                  <w:kern w:val="2"/>
                  <w:sz w:val="36"/>
                  <w:szCs w:val="36"/>
                  <w:highlight w:val="none"/>
                  <w:lang w:val="zh-CN"/>
                </w:rPr>
                <w:br w:type="page"/>
              </w:r>
            </w:p>
            <w:p w14:paraId="75851451">
              <w:pPr>
                <w:pStyle w:val="194"/>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目录</w:t>
              </w:r>
            </w:p>
            <w:p w14:paraId="094095FE">
              <w:pPr>
                <w:rPr>
                  <w:highlight w:val="none"/>
                  <w:lang w:val="zh-CN"/>
                </w:rPr>
              </w:pPr>
            </w:p>
            <w:p w14:paraId="3363B498">
              <w:pPr>
                <w:rPr>
                  <w:highlight w:val="none"/>
                </w:rPr>
              </w:pPr>
            </w:p>
            <w:p w14:paraId="7D8666F6">
              <w:pPr>
                <w:pStyle w:val="30"/>
                <w:tabs>
                  <w:tab w:val="right" w:leader="dot" w:pos="8255"/>
                </w:tabs>
                <w:rPr>
                  <w:rStyle w:val="48"/>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sz w:val="24"/>
                  <w:szCs w:val="24"/>
                  <w:highlight w:val="none"/>
                </w:rPr>
                <w:fldChar w:fldCharType="begin"/>
              </w:r>
              <w:r>
                <w:rPr>
                  <w:rFonts w:hint="eastAsia" w:ascii="方正黑体_GBK" w:hAnsi="方正黑体_GBK" w:eastAsia="方正黑体_GBK" w:cs="方正黑体_GBK"/>
                  <w:sz w:val="24"/>
                  <w:szCs w:val="24"/>
                  <w:highlight w:val="none"/>
                </w:rPr>
                <w:instrText xml:space="preserve"> TOC \o "1-3" \h \z \u </w:instrText>
              </w:r>
              <w:r>
                <w:rPr>
                  <w:rFonts w:hint="eastAsia" w:ascii="方正黑体_GBK" w:hAnsi="方正黑体_GBK" w:eastAsia="方正黑体_GBK" w:cs="方正黑体_GBK"/>
                  <w:sz w:val="24"/>
                  <w:szCs w:val="24"/>
                  <w:highlight w:val="none"/>
                </w:rPr>
                <w:fldChar w:fldCharType="separate"/>
              </w:r>
              <w:r>
                <w:rPr>
                  <w:highlight w:val="none"/>
                </w:rPr>
                <w:fldChar w:fldCharType="begin"/>
              </w:r>
              <w:r>
                <w:rPr>
                  <w:highlight w:val="none"/>
                </w:rPr>
                <w:instrText xml:space="preserve"> HYPERLINK \l "_Toc531594733" </w:instrText>
              </w:r>
              <w:r>
                <w:rPr>
                  <w:highlight w:val="none"/>
                </w:rPr>
                <w:fldChar w:fldCharType="separate"/>
              </w:r>
              <w:r>
                <w:rPr>
                  <w:rStyle w:val="48"/>
                  <w:rFonts w:hint="eastAsia" w:ascii="方正黑体_GBK" w:hAnsi="方正黑体_GBK" w:eastAsia="方正黑体_GBK" w:cs="方正黑体_GBK"/>
                  <w:color w:val="auto"/>
                  <w:sz w:val="24"/>
                  <w:szCs w:val="24"/>
                  <w:highlight w:val="none"/>
                </w:rPr>
                <w:t>第一章 招标公告</w:t>
              </w:r>
              <w:r>
                <w:rPr>
                  <w:rFonts w:hint="eastAsia" w:ascii="方正黑体_GBK" w:hAnsi="方正黑体_GBK" w:eastAsia="方正黑体_GBK" w:cs="方正黑体_GBK"/>
                  <w:sz w:val="24"/>
                  <w:szCs w:val="24"/>
                  <w:highlight w:val="none"/>
                </w:rPr>
                <w:tab/>
              </w:r>
              <w:r>
                <w:rPr>
                  <w:rFonts w:hint="eastAsia" w:ascii="方正黑体_GBK" w:hAnsi="方正黑体_GBK" w:eastAsia="方正黑体_GBK" w:cs="方正黑体_GBK"/>
                  <w:sz w:val="24"/>
                  <w:szCs w:val="24"/>
                  <w:highlight w:val="none"/>
                </w:rPr>
                <w:fldChar w:fldCharType="end"/>
              </w:r>
              <w:r>
                <w:rPr>
                  <w:rFonts w:hint="eastAsia" w:ascii="方正黑体_GBK" w:hAnsi="方正黑体_GBK" w:eastAsia="方正黑体_GBK" w:cs="方正黑体_GBK"/>
                  <w:sz w:val="24"/>
                  <w:szCs w:val="24"/>
                  <w:highlight w:val="none"/>
                </w:rPr>
                <w:t>3</w:t>
              </w:r>
            </w:p>
            <w:p w14:paraId="0EF5A910">
              <w:pPr>
                <w:rPr>
                  <w:rFonts w:hint="eastAsia" w:ascii="方正黑体_GBK" w:hAnsi="方正黑体_GBK" w:eastAsia="方正黑体_GBK" w:cs="方正黑体_GBK"/>
                  <w:szCs w:val="24"/>
                  <w:highlight w:val="none"/>
                </w:rPr>
              </w:pPr>
            </w:p>
            <w:p w14:paraId="66519FB9">
              <w:pPr>
                <w:rPr>
                  <w:rFonts w:hint="eastAsia" w:ascii="方正黑体_GBK" w:hAnsi="方正黑体_GBK" w:eastAsia="方正黑体_GBK" w:cs="方正黑体_GBK"/>
                  <w:szCs w:val="24"/>
                  <w:highlight w:val="none"/>
                </w:rPr>
              </w:pPr>
            </w:p>
            <w:p w14:paraId="1DF554A3">
              <w:pPr>
                <w:rPr>
                  <w:rFonts w:hint="eastAsia" w:ascii="方正黑体_GBK" w:hAnsi="方正黑体_GBK" w:eastAsia="方正黑体_GBK" w:cs="方正黑体_GBK"/>
                  <w:szCs w:val="24"/>
                  <w:highlight w:val="none"/>
                </w:rPr>
              </w:pPr>
            </w:p>
            <w:p w14:paraId="300F39E2">
              <w:pPr>
                <w:rPr>
                  <w:rFonts w:hint="eastAsia" w:ascii="方正黑体_GBK" w:hAnsi="方正黑体_GBK" w:eastAsia="方正黑体_GBK" w:cs="方正黑体_GBK"/>
                  <w:szCs w:val="24"/>
                  <w:highlight w:val="none"/>
                </w:rPr>
              </w:pPr>
            </w:p>
            <w:p w14:paraId="283361B2">
              <w:pPr>
                <w:pStyle w:val="30"/>
                <w:tabs>
                  <w:tab w:val="right" w:leader="dot" w:pos="8255"/>
                </w:tabs>
                <w:rPr>
                  <w:rStyle w:val="48"/>
                  <w:rFonts w:hint="eastAsia" w:ascii="方正黑体_GBK" w:hAnsi="方正黑体_GBK" w:eastAsia="方正黑体_GBK" w:cs="方正黑体_GBK"/>
                  <w:color w:val="auto"/>
                  <w:sz w:val="24"/>
                  <w:szCs w:val="24"/>
                  <w:highlight w:val="none"/>
                </w:rPr>
              </w:pPr>
              <w:r>
                <w:rPr>
                  <w:highlight w:val="none"/>
                </w:rPr>
                <w:fldChar w:fldCharType="begin"/>
              </w:r>
              <w:r>
                <w:rPr>
                  <w:highlight w:val="none"/>
                </w:rPr>
                <w:instrText xml:space="preserve"> HYPERLINK \l "_Toc531594734" </w:instrText>
              </w:r>
              <w:r>
                <w:rPr>
                  <w:highlight w:val="none"/>
                </w:rPr>
                <w:fldChar w:fldCharType="separate"/>
              </w:r>
              <w:r>
                <w:rPr>
                  <w:rStyle w:val="48"/>
                  <w:rFonts w:hint="eastAsia" w:ascii="方正黑体_GBK" w:hAnsi="方正黑体_GBK" w:eastAsia="方正黑体_GBK" w:cs="方正黑体_GBK"/>
                  <w:color w:val="auto"/>
                  <w:sz w:val="24"/>
                  <w:szCs w:val="24"/>
                  <w:highlight w:val="none"/>
                </w:rPr>
                <w:t>第二章 投标人需知</w:t>
              </w:r>
              <w:r>
                <w:rPr>
                  <w:rFonts w:hint="eastAsia" w:ascii="方正黑体_GBK" w:hAnsi="方正黑体_GBK" w:eastAsia="方正黑体_GBK" w:cs="方正黑体_GBK"/>
                  <w:sz w:val="24"/>
                  <w:szCs w:val="24"/>
                  <w:highlight w:val="none"/>
                </w:rPr>
                <w:tab/>
              </w:r>
              <w:r>
                <w:rPr>
                  <w:rFonts w:hint="eastAsia" w:ascii="方正黑体_GBK" w:hAnsi="方正黑体_GBK" w:eastAsia="方正黑体_GBK" w:cs="方正黑体_GBK"/>
                  <w:sz w:val="24"/>
                  <w:szCs w:val="24"/>
                  <w:highlight w:val="none"/>
                </w:rPr>
                <w:fldChar w:fldCharType="end"/>
              </w:r>
              <w:r>
                <w:rPr>
                  <w:rFonts w:hint="eastAsia" w:ascii="方正黑体_GBK" w:hAnsi="方正黑体_GBK" w:eastAsia="方正黑体_GBK" w:cs="方正黑体_GBK"/>
                  <w:sz w:val="24"/>
                  <w:szCs w:val="24"/>
                  <w:highlight w:val="none"/>
                </w:rPr>
                <w:t>5</w:t>
              </w:r>
            </w:p>
            <w:p w14:paraId="3441099E">
              <w:pPr>
                <w:rPr>
                  <w:rFonts w:hint="eastAsia" w:ascii="方正黑体_GBK" w:hAnsi="方正黑体_GBK" w:eastAsia="方正黑体_GBK" w:cs="方正黑体_GBK"/>
                  <w:szCs w:val="24"/>
                  <w:highlight w:val="none"/>
                </w:rPr>
              </w:pPr>
            </w:p>
            <w:p w14:paraId="6ED37BBA">
              <w:pPr>
                <w:rPr>
                  <w:rFonts w:hint="eastAsia" w:ascii="方正黑体_GBK" w:hAnsi="方正黑体_GBK" w:eastAsia="方正黑体_GBK" w:cs="方正黑体_GBK"/>
                  <w:szCs w:val="24"/>
                  <w:highlight w:val="none"/>
                </w:rPr>
              </w:pPr>
            </w:p>
            <w:p w14:paraId="6105D325">
              <w:pPr>
                <w:rPr>
                  <w:rFonts w:hint="eastAsia" w:ascii="方正黑体_GBK" w:hAnsi="方正黑体_GBK" w:eastAsia="方正黑体_GBK" w:cs="方正黑体_GBK"/>
                  <w:szCs w:val="24"/>
                  <w:highlight w:val="none"/>
                </w:rPr>
              </w:pPr>
            </w:p>
            <w:p w14:paraId="44CF0476">
              <w:pPr>
                <w:rPr>
                  <w:rFonts w:hint="eastAsia" w:ascii="方正黑体_GBK" w:hAnsi="方正黑体_GBK" w:eastAsia="方正黑体_GBK" w:cs="方正黑体_GBK"/>
                  <w:szCs w:val="24"/>
                  <w:highlight w:val="none"/>
                </w:rPr>
              </w:pPr>
            </w:p>
            <w:p w14:paraId="41272192">
              <w:pPr>
                <w:pStyle w:val="30"/>
                <w:tabs>
                  <w:tab w:val="right" w:leader="dot" w:pos="8255"/>
                </w:tabs>
                <w:rPr>
                  <w:rStyle w:val="48"/>
                  <w:rFonts w:hint="eastAsia" w:ascii="方正黑体_GBK" w:hAnsi="方正黑体_GBK" w:eastAsia="方正黑体_GBK" w:cs="方正黑体_GBK"/>
                  <w:sz w:val="24"/>
                  <w:szCs w:val="24"/>
                  <w:highlight w:val="none"/>
                  <w:lang w:val="en-US" w:eastAsia="zh-CN"/>
                </w:rPr>
              </w:pPr>
              <w:r>
                <w:rPr>
                  <w:rFonts w:hint="eastAsia" w:ascii="方正黑体_GBK" w:hAnsi="方正黑体_GBK" w:eastAsia="方正黑体_GBK" w:cs="方正黑体_GBK"/>
                  <w:color w:val="auto"/>
                  <w:sz w:val="24"/>
                  <w:szCs w:val="24"/>
                  <w:highlight w:val="none"/>
                  <w:u w:val="none"/>
                </w:rPr>
                <w:fldChar w:fldCharType="begin"/>
              </w:r>
              <w:r>
                <w:rPr>
                  <w:rFonts w:hint="eastAsia" w:ascii="方正黑体_GBK" w:hAnsi="方正黑体_GBK" w:eastAsia="方正黑体_GBK" w:cs="方正黑体_GBK"/>
                  <w:color w:val="auto"/>
                  <w:sz w:val="24"/>
                  <w:szCs w:val="24"/>
                  <w:highlight w:val="none"/>
                  <w:u w:val="none"/>
                </w:rPr>
                <w:instrText xml:space="preserve"> HYPERLINK \l "_第三章 招标数量及参数要求" </w:instrText>
              </w:r>
              <w:r>
                <w:rPr>
                  <w:rFonts w:hint="eastAsia" w:ascii="方正黑体_GBK" w:hAnsi="方正黑体_GBK" w:eastAsia="方正黑体_GBK" w:cs="方正黑体_GBK"/>
                  <w:color w:val="auto"/>
                  <w:sz w:val="24"/>
                  <w:szCs w:val="24"/>
                  <w:highlight w:val="none"/>
                  <w:u w:val="none"/>
                </w:rPr>
                <w:fldChar w:fldCharType="separate"/>
              </w:r>
              <w:r>
                <w:rPr>
                  <w:rStyle w:val="48"/>
                  <w:rFonts w:hint="eastAsia" w:ascii="方正黑体_GBK" w:hAnsi="方正黑体_GBK" w:eastAsia="方正黑体_GBK" w:cs="方正黑体_GBK"/>
                  <w:sz w:val="24"/>
                  <w:szCs w:val="24"/>
                  <w:highlight w:val="none"/>
                </w:rPr>
                <w:t>第三章 招标数量及参数要求</w:t>
              </w:r>
              <w:r>
                <w:rPr>
                  <w:rStyle w:val="48"/>
                  <w:rFonts w:hint="eastAsia" w:ascii="方正黑体_GBK" w:hAnsi="方正黑体_GBK" w:eastAsia="方正黑体_GBK" w:cs="方正黑体_GBK"/>
                  <w:sz w:val="24"/>
                  <w:szCs w:val="24"/>
                  <w:highlight w:val="none"/>
                </w:rPr>
                <w:tab/>
              </w:r>
              <w:r>
                <w:rPr>
                  <w:rStyle w:val="48"/>
                  <w:rFonts w:hint="eastAsia" w:ascii="方正黑体_GBK" w:hAnsi="方正黑体_GBK" w:eastAsia="方正黑体_GBK" w:cs="方正黑体_GBK"/>
                  <w:sz w:val="24"/>
                  <w:szCs w:val="24"/>
                  <w:highlight w:val="none"/>
                </w:rPr>
                <w:t>2</w:t>
              </w:r>
              <w:r>
                <w:rPr>
                  <w:rStyle w:val="48"/>
                  <w:rFonts w:hint="eastAsia" w:ascii="方正黑体_GBK" w:hAnsi="方正黑体_GBK" w:eastAsia="方正黑体_GBK" w:cs="方正黑体_GBK"/>
                  <w:sz w:val="24"/>
                  <w:szCs w:val="24"/>
                  <w:highlight w:val="none"/>
                  <w:lang w:val="en-US" w:eastAsia="zh-CN"/>
                </w:rPr>
                <w:t>2</w:t>
              </w:r>
            </w:p>
            <w:p w14:paraId="6D13B6F5">
              <w:pPr>
                <w:rPr>
                  <w:rFonts w:hint="eastAsia" w:ascii="方正黑体_GBK" w:hAnsi="方正黑体_GBK" w:eastAsia="方正黑体_GBK" w:cs="方正黑体_GBK"/>
                  <w:szCs w:val="24"/>
                  <w:highlight w:val="none"/>
                </w:rPr>
              </w:pPr>
              <w:r>
                <w:rPr>
                  <w:rFonts w:hint="eastAsia" w:ascii="方正黑体_GBK" w:hAnsi="方正黑体_GBK" w:eastAsia="方正黑体_GBK" w:cs="方正黑体_GBK"/>
                  <w:color w:val="auto"/>
                  <w:sz w:val="24"/>
                  <w:szCs w:val="24"/>
                  <w:highlight w:val="none"/>
                  <w:u w:val="none"/>
                </w:rPr>
                <w:fldChar w:fldCharType="end"/>
              </w:r>
            </w:p>
            <w:p w14:paraId="58B18A73">
              <w:pPr>
                <w:rPr>
                  <w:rFonts w:hint="eastAsia" w:ascii="方正黑体_GBK" w:hAnsi="方正黑体_GBK" w:eastAsia="方正黑体_GBK" w:cs="方正黑体_GBK"/>
                  <w:szCs w:val="24"/>
                  <w:highlight w:val="none"/>
                </w:rPr>
              </w:pPr>
            </w:p>
            <w:p w14:paraId="4B22992D">
              <w:pPr>
                <w:rPr>
                  <w:rFonts w:hint="eastAsia" w:ascii="方正黑体_GBK" w:hAnsi="方正黑体_GBK" w:eastAsia="方正黑体_GBK" w:cs="方正黑体_GBK"/>
                  <w:szCs w:val="24"/>
                  <w:highlight w:val="none"/>
                </w:rPr>
              </w:pPr>
            </w:p>
            <w:p w14:paraId="7318132B">
              <w:pPr>
                <w:rPr>
                  <w:rFonts w:hint="eastAsia" w:ascii="方正黑体_GBK" w:hAnsi="方正黑体_GBK" w:eastAsia="方正黑体_GBK" w:cs="方正黑体_GBK"/>
                  <w:szCs w:val="24"/>
                  <w:highlight w:val="none"/>
                </w:rPr>
              </w:pPr>
            </w:p>
            <w:p w14:paraId="7E544C0A">
              <w:pPr>
                <w:pStyle w:val="30"/>
                <w:tabs>
                  <w:tab w:val="right" w:leader="dot" w:pos="8255"/>
                </w:tabs>
                <w:rPr>
                  <w:rFonts w:hint="eastAsia" w:ascii="方正黑体_GBK" w:hAnsi="方正黑体_GBK" w:eastAsia="方正黑体_GBK" w:cs="方正黑体_GBK"/>
                  <w:szCs w:val="24"/>
                  <w:highlight w:val="none"/>
                </w:rPr>
              </w:pPr>
            </w:p>
            <w:p w14:paraId="63286E9C">
              <w:pPr>
                <w:pStyle w:val="30"/>
                <w:tabs>
                  <w:tab w:val="right" w:leader="dot" w:pos="8255"/>
                </w:tabs>
                <w:rPr>
                  <w:rFonts w:hint="eastAsia" w:ascii="方正黑体_GBK" w:hAnsi="方正黑体_GBK" w:eastAsia="方正黑体_GBK" w:cs="方正黑体_GBK"/>
                  <w:sz w:val="24"/>
                  <w:szCs w:val="24"/>
                  <w:highlight w:val="none"/>
                  <w:lang w:val="en-US" w:eastAsia="zh-CN"/>
                </w:rPr>
              </w:pPr>
              <w:r>
                <w:rPr>
                  <w:highlight w:val="none"/>
                </w:rPr>
                <w:fldChar w:fldCharType="begin"/>
              </w:r>
              <w:r>
                <w:rPr>
                  <w:highlight w:val="none"/>
                </w:rPr>
                <w:instrText xml:space="preserve"> HYPERLINK \l "_Toc531594799" </w:instrText>
              </w:r>
              <w:r>
                <w:rPr>
                  <w:highlight w:val="none"/>
                </w:rPr>
                <w:fldChar w:fldCharType="separate"/>
              </w:r>
              <w:r>
                <w:rPr>
                  <w:rStyle w:val="48"/>
                  <w:rFonts w:hint="eastAsia" w:ascii="方正黑体_GBK" w:hAnsi="方正黑体_GBK" w:eastAsia="方正黑体_GBK" w:cs="方正黑体_GBK"/>
                  <w:color w:val="auto"/>
                  <w:sz w:val="24"/>
                  <w:szCs w:val="24"/>
                  <w:highlight w:val="none"/>
                </w:rPr>
                <w:t>第</w:t>
              </w:r>
              <w:r>
                <w:rPr>
                  <w:rStyle w:val="48"/>
                  <w:rFonts w:hint="eastAsia" w:ascii="方正黑体_GBK" w:hAnsi="方正黑体_GBK" w:eastAsia="方正黑体_GBK" w:cs="方正黑体_GBK"/>
                  <w:color w:val="auto"/>
                  <w:sz w:val="24"/>
                  <w:szCs w:val="24"/>
                  <w:highlight w:val="none"/>
                  <w:lang w:eastAsia="zh-CN"/>
                </w:rPr>
                <w:t>四</w:t>
              </w:r>
              <w:r>
                <w:rPr>
                  <w:rStyle w:val="48"/>
                  <w:rFonts w:hint="eastAsia" w:ascii="方正黑体_GBK" w:hAnsi="方正黑体_GBK" w:eastAsia="方正黑体_GBK" w:cs="方正黑体_GBK"/>
                  <w:color w:val="auto"/>
                  <w:sz w:val="24"/>
                  <w:szCs w:val="24"/>
                  <w:highlight w:val="none"/>
                </w:rPr>
                <w:t>章 评标原则</w:t>
              </w:r>
              <w:r>
                <w:rPr>
                  <w:rFonts w:hint="eastAsia" w:ascii="方正黑体_GBK" w:hAnsi="方正黑体_GBK" w:eastAsia="方正黑体_GBK" w:cs="方正黑体_GBK"/>
                  <w:sz w:val="24"/>
                  <w:szCs w:val="24"/>
                  <w:highlight w:val="none"/>
                </w:rPr>
                <w:tab/>
              </w:r>
              <w:r>
                <w:rPr>
                  <w:rFonts w:hint="eastAsia" w:ascii="方正黑体_GBK" w:hAnsi="方正黑体_GBK" w:eastAsia="方正黑体_GBK" w:cs="方正黑体_GBK"/>
                  <w:sz w:val="24"/>
                  <w:szCs w:val="24"/>
                  <w:highlight w:val="none"/>
                </w:rPr>
                <w:fldChar w:fldCharType="end"/>
              </w:r>
              <w:r>
                <w:rPr>
                  <w:rFonts w:hint="eastAsia" w:ascii="方正黑体_GBK" w:hAnsi="方正黑体_GBK" w:eastAsia="方正黑体_GBK" w:cs="方正黑体_GBK"/>
                  <w:sz w:val="24"/>
                  <w:szCs w:val="24"/>
                  <w:highlight w:val="none"/>
                  <w:lang w:val="en-US" w:eastAsia="zh-CN"/>
                </w:rPr>
                <w:t>27</w:t>
              </w:r>
            </w:p>
            <w:p w14:paraId="182F5F2D">
              <w:pPr>
                <w:pStyle w:val="30"/>
                <w:tabs>
                  <w:tab w:val="right" w:leader="dot" w:pos="8255"/>
                </w:tabs>
                <w:rPr>
                  <w:rFonts w:hint="eastAsia" w:ascii="方正黑体_GBK" w:hAnsi="方正黑体_GBK" w:eastAsia="方正黑体_GBK" w:cs="方正黑体_GBK"/>
                  <w:sz w:val="24"/>
                  <w:szCs w:val="24"/>
                  <w:highlight w:val="none"/>
                  <w:lang w:val="en-US" w:eastAsia="zh-CN"/>
                </w:rPr>
              </w:pPr>
            </w:p>
            <w:p w14:paraId="42762A9D">
              <w:pPr>
                <w:pStyle w:val="30"/>
                <w:tabs>
                  <w:tab w:val="right" w:leader="dot" w:pos="8255"/>
                </w:tabs>
                <w:rPr>
                  <w:rFonts w:hint="eastAsia" w:ascii="方正黑体_GBK" w:hAnsi="方正黑体_GBK" w:eastAsia="方正黑体_GBK" w:cs="方正黑体_GBK"/>
                  <w:sz w:val="24"/>
                  <w:szCs w:val="24"/>
                  <w:highlight w:val="none"/>
                  <w:lang w:val="en-US" w:eastAsia="zh-CN"/>
                </w:rPr>
              </w:pPr>
            </w:p>
            <w:p w14:paraId="4ABA3761">
              <w:pPr>
                <w:pStyle w:val="30"/>
                <w:tabs>
                  <w:tab w:val="right" w:leader="dot" w:pos="8255"/>
                </w:tabs>
                <w:rPr>
                  <w:rFonts w:hint="eastAsia" w:ascii="方正黑体_GBK" w:hAnsi="方正黑体_GBK" w:eastAsia="方正黑体_GBK" w:cs="方正黑体_GBK"/>
                  <w:sz w:val="24"/>
                  <w:szCs w:val="24"/>
                  <w:highlight w:val="none"/>
                  <w:lang w:val="en-US" w:eastAsia="zh-CN"/>
                </w:rPr>
              </w:pPr>
            </w:p>
            <w:p w14:paraId="3235589A">
              <w:pPr>
                <w:pStyle w:val="30"/>
                <w:tabs>
                  <w:tab w:val="right" w:leader="dot" w:pos="8255"/>
                </w:tabs>
                <w:rPr>
                  <w:rFonts w:hint="default" w:ascii="方正黑体_GBK" w:hAnsi="方正黑体_GBK" w:eastAsia="方正黑体_GBK" w:cs="方正黑体_GBK"/>
                  <w:sz w:val="24"/>
                  <w:szCs w:val="24"/>
                  <w:highlight w:val="none"/>
                  <w:lang w:val="en-US" w:eastAsia="zh-CN"/>
                </w:rPr>
              </w:pPr>
            </w:p>
            <w:p w14:paraId="03862F81">
              <w:pPr>
                <w:pStyle w:val="30"/>
                <w:tabs>
                  <w:tab w:val="right" w:leader="dot" w:pos="8255"/>
                </w:tabs>
                <w:outlineLvl w:val="9"/>
                <w:rPr>
                  <w:rStyle w:val="48"/>
                  <w:rFonts w:hint="default"/>
                  <w:lang w:val="en-US" w:eastAsia="zh-CN"/>
                </w:rPr>
              </w:pPr>
              <w:r>
                <w:rPr>
                  <w:rFonts w:hint="eastAsia"/>
                  <w:color w:val="0000FF" w:themeColor="hyperlink"/>
                  <w:u w:val="single"/>
                </w:rPr>
                <w:fldChar w:fldCharType="begin"/>
              </w:r>
              <w:r>
                <w:rPr>
                  <w:rFonts w:hint="eastAsia"/>
                  <w:color w:val="0000FF" w:themeColor="hyperlink"/>
                  <w:u w:val="single"/>
                </w:rPr>
                <w:instrText xml:space="preserve"> HYPERLINK \l "_第五章 投标文件格式" </w:instrText>
              </w:r>
              <w:r>
                <w:rPr>
                  <w:rFonts w:hint="eastAsia"/>
                  <w:color w:val="0000FF" w:themeColor="hyperlink"/>
                  <w:u w:val="single"/>
                </w:rPr>
                <w:fldChar w:fldCharType="separate"/>
              </w:r>
              <w:r>
                <w:rPr>
                  <w:rStyle w:val="48"/>
                  <w:rFonts w:hint="eastAsia" w:ascii="方正黑体_GBK" w:hAnsi="方正黑体_GBK" w:eastAsia="方正黑体_GBK" w:cs="方正黑体_GBK"/>
                  <w:color w:val="auto"/>
                  <w:sz w:val="24"/>
                  <w:szCs w:val="24"/>
                  <w:highlight w:val="none"/>
                </w:rPr>
                <w:t>第</w:t>
              </w:r>
              <w:r>
                <w:rPr>
                  <w:rStyle w:val="48"/>
                  <w:rFonts w:hint="eastAsia" w:ascii="方正黑体_GBK" w:hAnsi="方正黑体_GBK" w:eastAsia="方正黑体_GBK" w:cs="方正黑体_GBK"/>
                  <w:color w:val="auto"/>
                  <w:sz w:val="24"/>
                  <w:szCs w:val="24"/>
                  <w:highlight w:val="none"/>
                  <w:lang w:eastAsia="zh-CN"/>
                </w:rPr>
                <w:t>五</w:t>
              </w:r>
              <w:r>
                <w:rPr>
                  <w:rStyle w:val="48"/>
                  <w:rFonts w:hint="eastAsia" w:ascii="方正黑体_GBK" w:hAnsi="方正黑体_GBK" w:eastAsia="方正黑体_GBK" w:cs="方正黑体_GBK"/>
                  <w:color w:val="auto"/>
                  <w:sz w:val="24"/>
                  <w:szCs w:val="24"/>
                  <w:highlight w:val="none"/>
                </w:rPr>
                <w:t>章 投标文件格式</w:t>
              </w:r>
              <w:r>
                <w:rPr>
                  <w:rStyle w:val="48"/>
                  <w:rFonts w:hint="eastAsia"/>
                </w:rPr>
                <w:tab/>
              </w:r>
              <w:r>
                <w:rPr>
                  <w:rFonts w:hint="eastAsia"/>
                  <w:color w:val="0000FF" w:themeColor="hyperlink"/>
                  <w:u w:val="single"/>
                </w:rPr>
                <w:fldChar w:fldCharType="end"/>
              </w:r>
              <w:r>
                <w:rPr>
                  <w:rStyle w:val="48"/>
                  <w:rFonts w:hint="eastAsia"/>
                  <w:lang w:val="en-US" w:eastAsia="zh-CN"/>
                </w:rPr>
                <w:t>30</w:t>
              </w:r>
            </w:p>
            <w:p w14:paraId="775D4E1E">
              <w:pPr>
                <w:rPr>
                  <w:rFonts w:ascii="Times New Roman" w:hAnsi="Times New Roman" w:eastAsia="方正黑体_GBK" w:cs="Times New Roman"/>
                  <w:b/>
                  <w:szCs w:val="24"/>
                  <w:highlight w:val="none"/>
                </w:rPr>
              </w:pPr>
              <w:r>
                <w:rPr>
                  <w:rFonts w:hint="eastAsia" w:ascii="方正黑体_GBK" w:hAnsi="方正黑体_GBK" w:eastAsia="方正黑体_GBK" w:cs="方正黑体_GBK"/>
                  <w:szCs w:val="24"/>
                  <w:highlight w:val="none"/>
                  <w:lang w:val="zh-CN"/>
                </w:rPr>
                <w:fldChar w:fldCharType="end"/>
              </w:r>
            </w:p>
          </w:sdtContent>
        </w:sdt>
      </w:sdtContent>
    </w:sdt>
    <w:p w14:paraId="56E6AE9E">
      <w:pPr>
        <w:pStyle w:val="2"/>
        <w:numPr>
          <w:ilvl w:val="0"/>
          <w:numId w:val="0"/>
        </w:numPr>
        <w:spacing w:before="0" w:after="0" w:line="440" w:lineRule="exact"/>
        <w:jc w:val="center"/>
        <w:rPr>
          <w:rFonts w:hint="eastAsia" w:ascii="方正小标宋_GBK" w:hAnsi="方正小标宋_GBK" w:eastAsia="方正小标宋_GBK" w:cs="方正小标宋_GBK"/>
          <w:b w:val="0"/>
          <w:bCs w:val="0"/>
          <w:highlight w:val="none"/>
        </w:rPr>
      </w:pPr>
    </w:p>
    <w:p w14:paraId="751153B7">
      <w:pPr>
        <w:rPr>
          <w:rFonts w:hint="eastAsia" w:ascii="方正小标宋_GBK" w:hAnsi="方正小标宋_GBK" w:eastAsia="方正小标宋_GBK" w:cs="方正小标宋_GBK"/>
          <w:highlight w:val="none"/>
        </w:rPr>
      </w:pPr>
    </w:p>
    <w:p w14:paraId="7B4D6867">
      <w:pPr>
        <w:rPr>
          <w:rFonts w:hint="eastAsia" w:ascii="方正小标宋_GBK" w:hAnsi="方正小标宋_GBK" w:eastAsia="方正小标宋_GBK" w:cs="方正小标宋_GBK"/>
          <w:highlight w:val="none"/>
        </w:rPr>
      </w:pPr>
    </w:p>
    <w:p w14:paraId="207429E5">
      <w:pPr>
        <w:rPr>
          <w:rFonts w:hint="eastAsia" w:ascii="方正小标宋_GBK" w:hAnsi="方正小标宋_GBK" w:eastAsia="方正小标宋_GBK" w:cs="方正小标宋_GBK"/>
          <w:highlight w:val="none"/>
        </w:rPr>
      </w:pPr>
    </w:p>
    <w:p w14:paraId="7A4E3ED7">
      <w:pPr>
        <w:rPr>
          <w:rFonts w:hint="eastAsia" w:ascii="方正小标宋_GBK" w:hAnsi="方正小标宋_GBK" w:eastAsia="方正小标宋_GBK" w:cs="方正小标宋_GBK"/>
          <w:highlight w:val="none"/>
        </w:rPr>
      </w:pPr>
    </w:p>
    <w:p w14:paraId="74370848">
      <w:pPr>
        <w:rPr>
          <w:rFonts w:hint="eastAsia" w:ascii="方正小标宋_GBK" w:hAnsi="方正小标宋_GBK" w:eastAsia="方正小标宋_GBK" w:cs="方正小标宋_GBK"/>
          <w:highlight w:val="none"/>
        </w:rPr>
      </w:pPr>
    </w:p>
    <w:p w14:paraId="36A400B6">
      <w:pPr>
        <w:rPr>
          <w:rFonts w:hint="eastAsia" w:ascii="方正小标宋_GBK" w:hAnsi="方正小标宋_GBK" w:eastAsia="方正小标宋_GBK" w:cs="方正小标宋_GBK"/>
          <w:highlight w:val="none"/>
        </w:rPr>
      </w:pPr>
    </w:p>
    <w:p w14:paraId="0E9A3D97">
      <w:pP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br w:type="page"/>
      </w:r>
    </w:p>
    <w:p w14:paraId="53F75FE7">
      <w:pPr>
        <w:pStyle w:val="2"/>
        <w:numPr>
          <w:ilvl w:val="0"/>
          <w:numId w:val="0"/>
        </w:numPr>
        <w:spacing w:before="0" w:after="0" w:line="440" w:lineRule="exact"/>
        <w:jc w:val="cente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t>第一章 招标公告</w:t>
      </w:r>
    </w:p>
    <w:p w14:paraId="542701CD">
      <w:pPr>
        <w:spacing w:line="440" w:lineRule="exact"/>
        <w:ind w:firstLine="480" w:firstLineChars="200"/>
        <w:rPr>
          <w:highlight w:val="none"/>
        </w:rPr>
      </w:pPr>
    </w:p>
    <w:p w14:paraId="40E38491">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rPr>
          <w:rFonts w:ascii="Times New Roman" w:hAnsi="Times New Roman" w:eastAsia="方正仿宋_GBK" w:cs="Times New Roman"/>
          <w:sz w:val="32"/>
          <w:szCs w:val="32"/>
          <w:highlight w:val="none"/>
          <w:u w:val="single"/>
        </w:rPr>
      </w:pPr>
      <w:r>
        <w:rPr>
          <w:rFonts w:ascii="Times New Roman" w:hAnsi="Times New Roman" w:eastAsia="方正仿宋_GBK" w:cs="Times New Roman"/>
          <w:sz w:val="32"/>
          <w:szCs w:val="32"/>
          <w:highlight w:val="none"/>
          <w:u w:val="single"/>
        </w:rPr>
        <w:t>重庆财经学院</w:t>
      </w:r>
      <w:r>
        <w:rPr>
          <w:rFonts w:ascii="Times New Roman" w:hAnsi="Times New Roman" w:eastAsia="方正仿宋_GBK" w:cs="Times New Roman"/>
          <w:sz w:val="32"/>
          <w:szCs w:val="32"/>
          <w:highlight w:val="none"/>
        </w:rPr>
        <w:t>（采购人）拟对“</w:t>
      </w:r>
      <w:r>
        <w:rPr>
          <w:rFonts w:hint="eastAsia" w:ascii="Times New Roman" w:hAnsi="Times New Roman" w:eastAsia="方正仿宋_GBK" w:cs="Times New Roman"/>
          <w:sz w:val="32"/>
          <w:szCs w:val="32"/>
          <w:highlight w:val="none"/>
          <w:u w:val="single"/>
        </w:rPr>
        <w:t>重庆财经学院</w:t>
      </w:r>
      <w:r>
        <w:rPr>
          <w:rFonts w:hint="eastAsia" w:ascii="Times New Roman" w:hAnsi="Times New Roman" w:eastAsia="方正仿宋_GBK" w:cs="Times New Roman"/>
          <w:sz w:val="32"/>
          <w:szCs w:val="32"/>
          <w:highlight w:val="none"/>
          <w:u w:val="single"/>
          <w:lang w:eastAsia="zh-CN"/>
        </w:rPr>
        <w:t>固定资产管理系统建设采购项目</w:t>
      </w:r>
      <w:r>
        <w:rPr>
          <w:rFonts w:ascii="Times New Roman" w:hAnsi="Times New Roman" w:eastAsia="方正仿宋_GBK" w:cs="Times New Roman"/>
          <w:sz w:val="32"/>
          <w:szCs w:val="32"/>
          <w:highlight w:val="none"/>
        </w:rPr>
        <w:t>”进行国内</w:t>
      </w:r>
      <w:r>
        <w:rPr>
          <w:rFonts w:hint="eastAsia" w:ascii="Times New Roman" w:hAnsi="Times New Roman" w:eastAsia="方正仿宋_GBK" w:cs="Times New Roman"/>
          <w:sz w:val="32"/>
          <w:szCs w:val="32"/>
          <w:highlight w:val="none"/>
          <w:lang w:eastAsia="zh-CN"/>
        </w:rPr>
        <w:t>挂网</w:t>
      </w:r>
      <w:r>
        <w:rPr>
          <w:rFonts w:ascii="Times New Roman" w:hAnsi="Times New Roman" w:eastAsia="方正仿宋_GBK" w:cs="Times New Roman"/>
          <w:sz w:val="32"/>
          <w:szCs w:val="32"/>
          <w:highlight w:val="none"/>
        </w:rPr>
        <w:t>招标，兹邀请符合本次招标要求的供应商参加投标。</w:t>
      </w:r>
    </w:p>
    <w:p w14:paraId="2EEAD9B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方正楷体_GBK" w:hAnsi="方正楷体_GBK" w:eastAsia="方正楷体_GBK" w:cs="方正楷体_GBK"/>
          <w:b/>
          <w:bCs/>
          <w:sz w:val="32"/>
          <w:szCs w:val="32"/>
          <w:highlight w:val="none"/>
        </w:rPr>
        <w:t>一、招标项目</w:t>
      </w:r>
      <w:r>
        <w:rPr>
          <w:rFonts w:hint="eastAsia" w:ascii="方正楷体_GBK" w:hAnsi="方正楷体_GBK" w:eastAsia="方正楷体_GBK" w:cs="方正楷体_GBK"/>
          <w:b/>
          <w:bCs/>
          <w:sz w:val="32"/>
          <w:szCs w:val="32"/>
          <w:highlight w:val="none"/>
          <w:lang w:val="en-US" w:eastAsia="zh-CN"/>
        </w:rPr>
        <w:t>内容</w:t>
      </w:r>
      <w:r>
        <w:rPr>
          <w:rFonts w:hint="eastAsia" w:ascii="方正楷体_GBK" w:hAnsi="方正楷体_GBK" w:eastAsia="方正楷体_GBK" w:cs="方正楷体_GBK"/>
          <w:b/>
          <w:bCs/>
          <w:sz w:val="32"/>
          <w:szCs w:val="32"/>
          <w:highlight w:val="none"/>
        </w:rPr>
        <w:t>：</w:t>
      </w:r>
      <w:r>
        <w:rPr>
          <w:rFonts w:ascii="Times New Roman" w:hAnsi="Times New Roman" w:eastAsia="方正仿宋_GBK" w:cs="Times New Roman"/>
          <w:sz w:val="32"/>
          <w:szCs w:val="32"/>
          <w:highlight w:val="none"/>
        </w:rPr>
        <w:t>（详见招标文件第三章 招标数量及参数要求）。</w:t>
      </w:r>
    </w:p>
    <w:p w14:paraId="1151440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0000FF"/>
          <w:sz w:val="28"/>
          <w:szCs w:val="28"/>
          <w:highlight w:val="none"/>
          <w:lang w:val="en-US" w:eastAsia="zh-CN"/>
        </w:rPr>
      </w:pPr>
      <w:r>
        <w:rPr>
          <w:rFonts w:hint="eastAsia" w:ascii="Times New Roman" w:hAnsi="Times New Roman" w:eastAsia="方正仿宋_GBK" w:cs="Times New Roman"/>
          <w:sz w:val="32"/>
          <w:szCs w:val="32"/>
          <w:highlight w:val="none"/>
          <w:u w:val="single"/>
          <w:lang w:val="en-US" w:eastAsia="zh-CN"/>
        </w:rPr>
        <w:t>项目内容的简介:</w:t>
      </w:r>
      <w:r>
        <w:rPr>
          <w:rFonts w:hint="eastAsia" w:ascii="Times New Roman" w:hAnsi="Times New Roman" w:eastAsia="方正仿宋_GBK" w:cs="方正仿宋_GBK"/>
          <w:b w:val="0"/>
          <w:bCs w:val="0"/>
          <w:sz w:val="32"/>
          <w:szCs w:val="32"/>
          <w:lang w:val="en-US" w:eastAsia="zh-CN"/>
        </w:rPr>
        <w:t>建立资产管理信息化平台，实现资产全生命周期数字化管理，并与金蝶财务系统深度对接，确保资产账与财务账实时同步、账账相符。</w:t>
      </w:r>
    </w:p>
    <w:p w14:paraId="3C81D167">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Times New Roman" w:hAnsi="Times New Roman" w:eastAsia="方正仿宋_GBK" w:cs="Times New Roman"/>
          <w:color w:val="0000FF"/>
          <w:sz w:val="28"/>
          <w:szCs w:val="28"/>
          <w:highlight w:val="none"/>
          <w:lang w:val="en-US" w:eastAsia="zh-CN"/>
        </w:rPr>
      </w:pPr>
    </w:p>
    <w:p w14:paraId="1804029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0000FF"/>
          <w:sz w:val="28"/>
          <w:szCs w:val="28"/>
          <w:highlight w:val="none"/>
          <w:lang w:val="en-US" w:eastAsia="zh-CN"/>
        </w:rPr>
      </w:pPr>
      <w:r>
        <w:rPr>
          <w:rFonts w:hint="eastAsia" w:ascii="方正楷体_GBK" w:hAnsi="方正楷体_GBK" w:eastAsia="方正楷体_GBK" w:cs="方正楷体_GBK"/>
          <w:b/>
          <w:bCs/>
          <w:sz w:val="32"/>
          <w:szCs w:val="32"/>
          <w:highlight w:val="none"/>
          <w:lang w:val="en-US" w:eastAsia="zh-CN"/>
        </w:rPr>
        <w:t>二、资金来源：</w:t>
      </w:r>
      <w:r>
        <w:rPr>
          <w:rFonts w:hint="eastAsia" w:ascii="Times New Roman" w:hAnsi="Times New Roman" w:eastAsia="方正仿宋_GBK" w:cs="方正仿宋_GBK"/>
          <w:b w:val="0"/>
          <w:bCs w:val="0"/>
          <w:sz w:val="32"/>
          <w:szCs w:val="32"/>
          <w:lang w:val="en-US" w:eastAsia="zh-CN"/>
        </w:rPr>
        <w:t>本项目预算金额28万以内,属于学校自筹</w:t>
      </w:r>
      <w:r>
        <w:rPr>
          <w:rFonts w:hint="eastAsia" w:ascii="Times New Roman" w:hAnsi="Times New Roman" w:eastAsia="方正仿宋_GBK" w:cs="Times New Roman"/>
          <w:color w:val="0000FF"/>
          <w:sz w:val="28"/>
          <w:szCs w:val="28"/>
          <w:highlight w:val="none"/>
          <w:lang w:val="en-US" w:eastAsia="zh-CN"/>
        </w:rPr>
        <w:t>。</w:t>
      </w:r>
    </w:p>
    <w:p w14:paraId="296C92D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方正楷体_GBK" w:hAnsi="方正楷体_GBK" w:eastAsia="方正楷体_GBK" w:cs="方正楷体_GBK"/>
          <w:b/>
          <w:bCs/>
          <w:sz w:val="32"/>
          <w:szCs w:val="32"/>
          <w:highlight w:val="none"/>
        </w:rPr>
      </w:pPr>
    </w:p>
    <w:p w14:paraId="2431BA2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方正楷体_GBK" w:hAnsi="方正楷体_GBK" w:eastAsia="方正楷体_GBK" w:cs="方正楷体_GBK"/>
          <w:b/>
          <w:bCs/>
          <w:sz w:val="32"/>
          <w:szCs w:val="32"/>
          <w:highlight w:val="none"/>
        </w:rPr>
      </w:pPr>
      <w:r>
        <w:rPr>
          <w:rFonts w:ascii="方正楷体_GBK" w:hAnsi="方正楷体_GBK" w:eastAsia="方正楷体_GBK" w:cs="方正楷体_GBK"/>
          <w:b/>
          <w:bCs/>
          <w:sz w:val="32"/>
          <w:szCs w:val="32"/>
          <w:highlight w:val="none"/>
        </w:rPr>
        <w:t>三、</w:t>
      </w:r>
      <w:r>
        <w:rPr>
          <w:rFonts w:hint="eastAsia" w:ascii="方正楷体_GBK" w:hAnsi="方正楷体_GBK" w:eastAsia="方正楷体_GBK" w:cs="方正楷体_GBK"/>
          <w:b/>
          <w:bCs/>
          <w:sz w:val="32"/>
          <w:szCs w:val="32"/>
          <w:highlight w:val="none"/>
          <w:lang w:val="en-US" w:eastAsia="zh-CN"/>
        </w:rPr>
        <w:t>投标人资格要求</w:t>
      </w:r>
    </w:p>
    <w:p w14:paraId="1F5BE07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1．投标人具有独立承担民事责任的能力，需提供营业执照等证明文件；</w:t>
      </w:r>
    </w:p>
    <w:p w14:paraId="20EF3FE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2．投标人具有良好的商业信誉和健全的财务会计制度，需提供近三年的财务报表；</w:t>
      </w:r>
    </w:p>
    <w:p w14:paraId="60D9402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3．投标人具有依法缴纳税收和社会保障资金的良好记录；</w:t>
      </w:r>
    </w:p>
    <w:p w14:paraId="532A02F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4．投标人具有履行合同所必需的专业技术能力；</w:t>
      </w:r>
    </w:p>
    <w:p w14:paraId="0BAF7D3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5．投标人参加政府采购活动前三年内，没有骗取中标行为，无不正当理由放弃中标（成交）行为，未进行过恶意投诉，在经营活动中没有违法、违规记录；</w:t>
      </w:r>
    </w:p>
    <w:p w14:paraId="0F8D234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6.经销商提供软件授权证书，软件开发商具备软件著作权证书；</w:t>
      </w:r>
    </w:p>
    <w:p w14:paraId="22CB907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7．投标人具有完善的质量保证和售后服务体系； </w:t>
      </w:r>
    </w:p>
    <w:p w14:paraId="7137B8D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方正楷体_GBK" w:hAnsi="方正楷体_GBK" w:eastAsia="方正楷体_GBK" w:cs="方正楷体_GBK"/>
          <w:b/>
          <w:bCs/>
          <w:color w:val="auto"/>
          <w:sz w:val="32"/>
          <w:szCs w:val="32"/>
          <w:highlight w:val="none"/>
        </w:rPr>
      </w:pPr>
    </w:p>
    <w:p w14:paraId="24B7524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方正楷体_GBK" w:hAnsi="方正楷体_GBK" w:eastAsia="方正楷体_GBK" w:cs="方正楷体_GBK"/>
          <w:b/>
          <w:bCs/>
          <w:color w:val="auto"/>
          <w:sz w:val="32"/>
          <w:szCs w:val="32"/>
          <w:highlight w:val="none"/>
        </w:rPr>
      </w:pPr>
      <w:r>
        <w:rPr>
          <w:rFonts w:ascii="方正楷体_GBK" w:hAnsi="方正楷体_GBK" w:eastAsia="方正楷体_GBK" w:cs="方正楷体_GBK"/>
          <w:b/>
          <w:bCs/>
          <w:color w:val="auto"/>
          <w:sz w:val="32"/>
          <w:szCs w:val="32"/>
          <w:highlight w:val="none"/>
        </w:rPr>
        <w:t>四、</w:t>
      </w:r>
      <w:r>
        <w:rPr>
          <w:rFonts w:ascii="方正楷体_GBK" w:hAnsi="方正楷体_GBK" w:eastAsia="方正楷体_GBK" w:cs="方正楷体_GBK"/>
          <w:b/>
          <w:bCs/>
          <w:color w:val="auto"/>
          <w:sz w:val="32"/>
          <w:szCs w:val="32"/>
          <w:highlight w:val="none"/>
          <w:lang w:val="en-US" w:eastAsia="zh-CN"/>
        </w:rPr>
        <w:t>投标、开标有关说明</w:t>
      </w:r>
    </w:p>
    <w:p w14:paraId="0DB076C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（一）招标文件公告期限：</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 xml:space="preserve">6年 4月 13日至 </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lang w:val="en-US" w:eastAsia="zh-CN"/>
        </w:rPr>
        <w:t xml:space="preserve"> </w:t>
      </w:r>
      <w:r>
        <w:rPr>
          <w:rFonts w:hint="eastAsia" w:ascii="Times New Roman" w:hAnsi="Times New Roman" w:eastAsia="方正仿宋_GBK" w:cs="Times New Roman"/>
          <w:color w:val="auto"/>
          <w:sz w:val="28"/>
          <w:szCs w:val="28"/>
          <w:highlight w:val="none"/>
          <w:lang w:val="en-US" w:eastAsia="zh-CN"/>
        </w:rPr>
        <w:t>年 4月 15日。</w:t>
      </w:r>
      <w:r>
        <w:rPr>
          <w:rFonts w:hint="eastAsia" w:ascii="Times New Roman" w:hAnsi="Times New Roman" w:eastAsia="方正仿宋_GBK" w:cs="Times New Roman"/>
          <w:color w:val="auto"/>
          <w:sz w:val="32"/>
          <w:szCs w:val="32"/>
          <w:highlight w:val="none"/>
          <w:lang w:val="en-US" w:eastAsia="zh-CN"/>
        </w:rPr>
        <w:t xml:space="preserve"> </w:t>
      </w:r>
    </w:p>
    <w:p w14:paraId="25D0239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（二）招标文件发售期限：同招标文件公告期限。</w:t>
      </w:r>
    </w:p>
    <w:p w14:paraId="2F90E0D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（三）招标文件发售地点：</w:t>
      </w:r>
    </w:p>
    <w:p w14:paraId="5FDB6EC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1.现场发售地址：重庆市巴南区龙洲湾尚文大道906号行政楼2420办公室。</w:t>
      </w:r>
    </w:p>
    <w:p w14:paraId="06508AB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2.直接在学校官网下载招标文件。</w:t>
      </w:r>
    </w:p>
    <w:p w14:paraId="3FF06D8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（四）对招标文件的疑问提出时间（若有）：</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6年 4月 16日以内</w:t>
      </w:r>
      <w:r>
        <w:rPr>
          <w:rFonts w:hint="eastAsia" w:ascii="Times New Roman" w:hAnsi="Times New Roman" w:eastAsia="方正仿宋_GBK" w:cs="Times New Roman"/>
          <w:color w:val="auto"/>
          <w:sz w:val="32"/>
          <w:szCs w:val="32"/>
          <w:highlight w:val="none"/>
          <w:lang w:val="en-US" w:eastAsia="zh-CN"/>
        </w:rPr>
        <w:t>。</w:t>
      </w:r>
    </w:p>
    <w:p w14:paraId="6BF1A08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FF0000"/>
          <w:sz w:val="32"/>
          <w:szCs w:val="32"/>
          <w:highlight w:val="none"/>
        </w:rPr>
      </w:pPr>
      <w:r>
        <w:rPr>
          <w:rFonts w:hint="eastAsia" w:ascii="Times New Roman" w:hAnsi="Times New Roman" w:eastAsia="方正仿宋_GBK" w:cs="Times New Roman"/>
          <w:color w:val="auto"/>
          <w:sz w:val="32"/>
          <w:szCs w:val="32"/>
          <w:highlight w:val="none"/>
          <w:lang w:val="en-US" w:eastAsia="zh-CN"/>
        </w:rPr>
        <w:t>（五）投标截止时间、投标地点、开标时间：</w:t>
      </w:r>
      <w:r>
        <w:rPr>
          <w:rFonts w:ascii="Times New Roman" w:hAnsi="Times New Roman" w:eastAsia="方正仿宋_GBK" w:cs="Times New Roman"/>
          <w:color w:val="auto"/>
          <w:sz w:val="32"/>
          <w:szCs w:val="32"/>
          <w:highlight w:val="none"/>
        </w:rPr>
        <w:t>在重庆财经学院</w:t>
      </w:r>
      <w:r>
        <w:rPr>
          <w:rFonts w:hint="eastAsia" w:ascii="Times New Roman" w:hAnsi="Times New Roman" w:eastAsia="方正仿宋_GBK" w:cs="Times New Roman"/>
          <w:color w:val="auto"/>
          <w:sz w:val="32"/>
          <w:szCs w:val="32"/>
          <w:highlight w:val="none"/>
          <w:lang w:val="en-US" w:eastAsia="zh-CN"/>
        </w:rPr>
        <w:t>官</w:t>
      </w:r>
      <w:r>
        <w:rPr>
          <w:rFonts w:ascii="Times New Roman" w:hAnsi="Times New Roman" w:eastAsia="方正仿宋_GBK" w:cs="Times New Roman"/>
          <w:color w:val="auto"/>
          <w:sz w:val="32"/>
          <w:szCs w:val="32"/>
          <w:highlight w:val="none"/>
        </w:rPr>
        <w:t>网上发布</w:t>
      </w:r>
      <w:r>
        <w:rPr>
          <w:rFonts w:hint="eastAsia" w:ascii="Times New Roman" w:hAnsi="Times New Roman" w:eastAsia="方正仿宋_GBK" w:cs="Times New Roman"/>
          <w:color w:val="auto"/>
          <w:sz w:val="32"/>
          <w:szCs w:val="32"/>
          <w:highlight w:val="none"/>
          <w:lang w:val="en-US" w:eastAsia="zh-CN"/>
        </w:rPr>
        <w:t>投标截止时间公告</w:t>
      </w:r>
      <w:r>
        <w:rPr>
          <w:rFonts w:ascii="Times New Roman" w:hAnsi="Times New Roman" w:eastAsia="方正仿宋_GBK" w:cs="Times New Roman"/>
          <w:color w:val="auto"/>
          <w:sz w:val="32"/>
          <w:szCs w:val="32"/>
          <w:highlight w:val="none"/>
        </w:rPr>
        <w:t>。</w:t>
      </w:r>
    </w:p>
    <w:p w14:paraId="11BD25D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方正楷体_GBK" w:hAnsi="方正楷体_GBK" w:eastAsia="方正楷体_GBK" w:cs="方正楷体_GBK"/>
          <w:b/>
          <w:bCs/>
          <w:sz w:val="32"/>
          <w:szCs w:val="32"/>
          <w:highlight w:val="none"/>
          <w:lang w:val="en-US" w:eastAsia="zh-CN"/>
        </w:rPr>
      </w:pPr>
    </w:p>
    <w:p w14:paraId="0A40E08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方正楷体_GBK" w:hAnsi="方正楷体_GBK" w:eastAsia="方正楷体_GBK" w:cs="方正楷体_GBK"/>
          <w:b/>
          <w:bCs/>
          <w:sz w:val="32"/>
          <w:szCs w:val="32"/>
          <w:highlight w:val="none"/>
          <w:lang w:val="en-US"/>
        </w:rPr>
      </w:pPr>
      <w:r>
        <w:rPr>
          <w:rFonts w:ascii="方正楷体_GBK" w:hAnsi="方正楷体_GBK" w:eastAsia="方正楷体_GBK" w:cs="方正楷体_GBK"/>
          <w:b/>
          <w:bCs/>
          <w:sz w:val="32"/>
          <w:szCs w:val="32"/>
          <w:highlight w:val="none"/>
          <w:lang w:val="en-US" w:eastAsia="zh-CN"/>
        </w:rPr>
        <w:t>五、招标文件购买费、投标保证金</w:t>
      </w:r>
      <w:r>
        <w:rPr>
          <w:rFonts w:hint="eastAsia" w:ascii="方正楷体_GBK" w:hAnsi="方正楷体_GBK" w:eastAsia="方正楷体_GBK" w:cs="方正楷体_GBK"/>
          <w:b/>
          <w:bCs/>
          <w:sz w:val="32"/>
          <w:szCs w:val="32"/>
          <w:highlight w:val="none"/>
          <w:lang w:val="en-US" w:eastAsia="zh-CN"/>
        </w:rPr>
        <w:t>、中标服务费。</w:t>
      </w:r>
    </w:p>
    <w:p w14:paraId="2E04711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一</w:t>
      </w:r>
      <w:r>
        <w:rPr>
          <w:rFonts w:hint="eastAsia" w:ascii="Times New Roman" w:hAnsi="Times New Roman" w:eastAsia="方正仿宋_GBK" w:cs="Times New Roman"/>
          <w:b w:val="0"/>
          <w:bCs w:val="0"/>
          <w:sz w:val="32"/>
          <w:szCs w:val="32"/>
          <w:highlight w:val="none"/>
          <w:lang w:eastAsia="zh-CN"/>
        </w:rPr>
        <w:t>）</w:t>
      </w:r>
      <w:r>
        <w:rPr>
          <w:rFonts w:ascii="Times New Roman" w:hAnsi="Times New Roman" w:eastAsia="方正仿宋_GBK" w:cs="Times New Roman"/>
          <w:b w:val="0"/>
          <w:bCs w:val="0"/>
          <w:sz w:val="32"/>
          <w:szCs w:val="32"/>
          <w:highlight w:val="none"/>
        </w:rPr>
        <w:t>招标文件</w:t>
      </w:r>
      <w:r>
        <w:rPr>
          <w:rFonts w:hint="eastAsia" w:ascii="Times New Roman" w:hAnsi="Times New Roman" w:eastAsia="方正仿宋_GBK" w:cs="Times New Roman"/>
          <w:b w:val="0"/>
          <w:bCs w:val="0"/>
          <w:sz w:val="32"/>
          <w:szCs w:val="32"/>
          <w:highlight w:val="none"/>
          <w:lang w:val="en-US" w:eastAsia="zh-CN"/>
        </w:rPr>
        <w:t>购买费：</w:t>
      </w:r>
      <w:r>
        <w:rPr>
          <w:rFonts w:hint="eastAsia" w:ascii="Times New Roman" w:hAnsi="Times New Roman" w:eastAsia="方正仿宋_GBK" w:cs="Times New Roman"/>
          <w:color w:val="auto"/>
          <w:sz w:val="32"/>
          <w:szCs w:val="32"/>
          <w:highlight w:val="none"/>
          <w:lang w:val="en-US" w:eastAsia="zh-CN"/>
        </w:rPr>
        <w:t>人民币200元/份；</w:t>
      </w:r>
    </w:p>
    <w:p w14:paraId="725C585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报名费收费账</w:t>
      </w:r>
      <w:r>
        <w:rPr>
          <w:rFonts w:hint="eastAsia" w:ascii="Times New Roman" w:hAnsi="Times New Roman" w:eastAsia="方正仿宋_GBK" w:cs="Times New Roman"/>
          <w:b w:val="0"/>
          <w:bCs w:val="0"/>
          <w:color w:val="auto"/>
          <w:sz w:val="32"/>
          <w:szCs w:val="32"/>
          <w:highlight w:val="none"/>
          <w:lang w:val="en-US" w:eastAsia="zh-CN"/>
        </w:rPr>
        <w:t>户：1001010120010030105，重庆财经学院，农村商业银行重庆巴南支行。</w:t>
      </w:r>
    </w:p>
    <w:p w14:paraId="537B460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eastAsia="zh-CN"/>
        </w:rPr>
      </w:pPr>
      <w:r>
        <w:rPr>
          <w:rFonts w:hint="eastAsia" w:ascii="Times New Roman" w:hAnsi="Times New Roman" w:eastAsia="方正仿宋_GBK" w:cs="Times New Roman"/>
          <w:b w:val="0"/>
          <w:bCs w:val="0"/>
          <w:color w:val="auto"/>
          <w:sz w:val="32"/>
          <w:szCs w:val="32"/>
          <w:highlight w:val="none"/>
          <w:lang w:val="en-US" w:eastAsia="zh-CN"/>
        </w:rPr>
        <w:t>1.</w:t>
      </w:r>
      <w:r>
        <w:rPr>
          <w:rFonts w:hint="eastAsia" w:ascii="Times New Roman" w:hAnsi="Times New Roman" w:eastAsia="方正仿宋_GBK" w:cs="Times New Roman"/>
          <w:b w:val="0"/>
          <w:bCs w:val="0"/>
          <w:color w:val="auto"/>
          <w:sz w:val="32"/>
          <w:szCs w:val="32"/>
          <w:highlight w:val="none"/>
          <w:lang w:eastAsia="zh-CN"/>
        </w:rPr>
        <w:t>汇款的</w:t>
      </w:r>
      <w:r>
        <w:rPr>
          <w:rFonts w:hint="eastAsia" w:ascii="Times New Roman" w:hAnsi="Times New Roman" w:eastAsia="方正仿宋_GBK" w:cs="Times New Roman"/>
          <w:b w:val="0"/>
          <w:bCs w:val="0"/>
          <w:color w:val="auto"/>
          <w:sz w:val="32"/>
          <w:szCs w:val="32"/>
          <w:highlight w:val="none"/>
          <w:lang w:val="en-US" w:eastAsia="zh-CN"/>
        </w:rPr>
        <w:t>投标方</w:t>
      </w:r>
      <w:r>
        <w:rPr>
          <w:rFonts w:hint="eastAsia" w:ascii="Times New Roman" w:hAnsi="Times New Roman" w:eastAsia="方正仿宋_GBK" w:cs="Times New Roman"/>
          <w:b w:val="0"/>
          <w:bCs w:val="0"/>
          <w:color w:val="auto"/>
          <w:sz w:val="32"/>
          <w:szCs w:val="32"/>
          <w:highlight w:val="none"/>
          <w:lang w:eastAsia="zh-CN"/>
        </w:rPr>
        <w:t>须在付款凭证摘要/用途中填</w:t>
      </w:r>
      <w:r>
        <w:rPr>
          <w:rFonts w:hint="eastAsia" w:ascii="Times New Roman" w:hAnsi="Times New Roman" w:eastAsia="方正仿宋_GBK" w:cs="Times New Roman"/>
          <w:b w:val="0"/>
          <w:bCs w:val="0"/>
          <w:color w:val="auto"/>
          <w:sz w:val="32"/>
          <w:szCs w:val="32"/>
          <w:highlight w:val="none"/>
          <w:lang w:val="en-US" w:eastAsia="zh-CN"/>
        </w:rPr>
        <w:t>写</w:t>
      </w:r>
      <w:r>
        <w:rPr>
          <w:rFonts w:hint="eastAsia" w:ascii="Times New Roman" w:hAnsi="Times New Roman" w:eastAsia="方正仿宋_GBK" w:cs="Times New Roman"/>
          <w:b w:val="0"/>
          <w:bCs w:val="0"/>
          <w:color w:val="auto"/>
          <w:sz w:val="32"/>
          <w:szCs w:val="32"/>
          <w:highlight w:val="none"/>
          <w:u w:val="single"/>
          <w:lang w:val="en-US" w:eastAsia="zh-CN"/>
        </w:rPr>
        <w:t>“重庆财经学院固定资产管理系统建设采购项目招标文件购买费”</w:t>
      </w:r>
      <w:r>
        <w:rPr>
          <w:rFonts w:hint="eastAsia" w:ascii="Times New Roman" w:hAnsi="Times New Roman" w:eastAsia="方正仿宋_GBK" w:cs="Times New Roman"/>
          <w:b w:val="0"/>
          <w:bCs w:val="0"/>
          <w:color w:val="auto"/>
          <w:sz w:val="32"/>
          <w:szCs w:val="32"/>
          <w:highlight w:val="none"/>
          <w:lang w:eastAsia="zh-CN"/>
        </w:rPr>
        <w:t>，并在投标文件</w:t>
      </w:r>
      <w:r>
        <w:rPr>
          <w:rFonts w:hint="eastAsia" w:ascii="Times New Roman" w:hAnsi="Times New Roman" w:eastAsia="方正仿宋_GBK" w:cs="Times New Roman"/>
          <w:b w:val="0"/>
          <w:bCs w:val="0"/>
          <w:color w:val="auto"/>
          <w:sz w:val="32"/>
          <w:szCs w:val="32"/>
          <w:highlight w:val="none"/>
          <w:lang w:val="en-US" w:eastAsia="zh-CN"/>
        </w:rPr>
        <w:t>最后</w:t>
      </w:r>
      <w:r>
        <w:rPr>
          <w:rFonts w:hint="eastAsia" w:ascii="Times New Roman" w:hAnsi="Times New Roman" w:eastAsia="方正仿宋_GBK" w:cs="Times New Roman"/>
          <w:b w:val="0"/>
          <w:bCs w:val="0"/>
          <w:color w:val="auto"/>
          <w:sz w:val="32"/>
          <w:szCs w:val="32"/>
          <w:highlight w:val="none"/>
          <w:lang w:eastAsia="zh-CN"/>
        </w:rPr>
        <w:t>附纸质的转账凭证复印件。</w:t>
      </w:r>
    </w:p>
    <w:p w14:paraId="658867E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2.汇款截止时间：同招标文件公告截止日期。</w:t>
      </w:r>
    </w:p>
    <w:p w14:paraId="4F1459A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eastAsia="zh-CN"/>
        </w:rPr>
      </w:pPr>
      <w:r>
        <w:rPr>
          <w:rFonts w:hint="eastAsia" w:ascii="Times New Roman" w:hAnsi="Times New Roman" w:eastAsia="方正仿宋_GBK" w:cs="Times New Roman"/>
          <w:b w:val="0"/>
          <w:bCs w:val="0"/>
          <w:color w:val="auto"/>
          <w:sz w:val="32"/>
          <w:szCs w:val="32"/>
          <w:highlight w:val="none"/>
          <w:lang w:eastAsia="zh-CN"/>
        </w:rPr>
        <w:t>供应商在银行转账（电汇）时，须充分考虑银行转账（电汇）的时间差风险，如同城转账、异地转账或汇款、跨行转账或电汇的时间要求。</w:t>
      </w:r>
    </w:p>
    <w:p w14:paraId="137A587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3.汇款方请在投标截止时间公告日前，及时将缴费记录截图、公司名、项目负责人姓名以邮件发送至1308772756@qq.com邮箱，比便于及时为其开具收款凭证。</w:t>
      </w:r>
    </w:p>
    <w:p w14:paraId="23200A8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（二）投标保证金</w:t>
      </w:r>
    </w:p>
    <w:p w14:paraId="78C9D23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投标人应以现金的形式提供人民币</w:t>
      </w:r>
      <w:r>
        <w:rPr>
          <w:rFonts w:hint="eastAsia" w:ascii="Times New Roman" w:hAnsi="Times New Roman" w:eastAsia="方正仿宋_GBK" w:cs="Times New Roman"/>
          <w:color w:val="auto"/>
          <w:sz w:val="28"/>
          <w:szCs w:val="28"/>
          <w:highlight w:val="none"/>
          <w:u w:val="single"/>
          <w:lang w:val="en-US" w:eastAsia="zh-CN"/>
        </w:rPr>
        <w:t>5000元</w:t>
      </w:r>
      <w:r>
        <w:rPr>
          <w:rFonts w:hint="eastAsia" w:ascii="Times New Roman" w:hAnsi="Times New Roman" w:eastAsia="方正仿宋_GBK" w:cs="Times New Roman"/>
          <w:color w:val="auto"/>
          <w:sz w:val="28"/>
          <w:szCs w:val="28"/>
          <w:highlight w:val="none"/>
          <w:lang w:val="en-US" w:eastAsia="zh-CN"/>
        </w:rPr>
        <w:t>（大写伍仟元</w:t>
      </w:r>
      <w:r>
        <w:rPr>
          <w:rFonts w:hint="eastAsia" w:ascii="Times New Roman" w:hAnsi="Times New Roman" w:eastAsia="方正仿宋_GBK" w:cs="Times New Roman"/>
          <w:color w:val="auto"/>
          <w:sz w:val="32"/>
          <w:szCs w:val="32"/>
          <w:highlight w:val="none"/>
          <w:lang w:val="en-US" w:eastAsia="zh-CN"/>
        </w:rPr>
        <w:t>）的投标保证金。</w:t>
      </w:r>
    </w:p>
    <w:p w14:paraId="6E26037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非中标人的投标人保证金，现场退还；中标人与采购人签订合同后，投标保证金自动转为履约保证金，多退少补。</w:t>
      </w:r>
    </w:p>
    <w:p w14:paraId="6B6959B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（三）中标服务费</w:t>
      </w:r>
    </w:p>
    <w:p w14:paraId="6049F58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本项目将收取中标服务费，计算基数是中标通知书中载明的中标金额，按下表以差额定率累进法计算，并在此基础上八折收取。</w:t>
      </w:r>
    </w:p>
    <w:tbl>
      <w:tblPr>
        <w:tblStyle w:val="43"/>
        <w:tblpPr w:leftFromText="180" w:rightFromText="180" w:vertAnchor="text" w:horzAnchor="page" w:tblpX="1906"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211"/>
      </w:tblGrid>
      <w:tr w14:paraId="7C00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6357D284">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中标金额（万元）</w:t>
            </w:r>
          </w:p>
        </w:tc>
        <w:tc>
          <w:tcPr>
            <w:tcW w:w="4211" w:type="dxa"/>
          </w:tcPr>
          <w:p w14:paraId="04B9B86C">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费率（%）</w:t>
            </w:r>
          </w:p>
        </w:tc>
      </w:tr>
      <w:tr w14:paraId="1434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7EAE3259">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100以下</w:t>
            </w:r>
          </w:p>
        </w:tc>
        <w:tc>
          <w:tcPr>
            <w:tcW w:w="4211" w:type="dxa"/>
          </w:tcPr>
          <w:p w14:paraId="69DABDE8">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1.5</w:t>
            </w:r>
          </w:p>
        </w:tc>
      </w:tr>
      <w:tr w14:paraId="63EA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141166D9">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100-500</w:t>
            </w:r>
          </w:p>
        </w:tc>
        <w:tc>
          <w:tcPr>
            <w:tcW w:w="4211" w:type="dxa"/>
          </w:tcPr>
          <w:p w14:paraId="568DD148">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eastAsiaTheme="minorEastAsia"/>
                <w:szCs w:val="24"/>
                <w:lang w:val="en-US" w:eastAsia="zh-CN"/>
              </w:rPr>
            </w:pPr>
            <w:r>
              <w:rPr>
                <w:rFonts w:hint="eastAsia"/>
                <w:szCs w:val="24"/>
                <w:lang w:val="en-US" w:eastAsia="zh-CN"/>
              </w:rPr>
              <w:t>0.8</w:t>
            </w:r>
          </w:p>
        </w:tc>
      </w:tr>
    </w:tbl>
    <w:p w14:paraId="532E317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p>
    <w:p w14:paraId="51B9668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lang w:val="en-US" w:eastAsia="zh-CN"/>
        </w:rPr>
        <w:t>六</w:t>
      </w:r>
      <w:r>
        <w:rPr>
          <w:rFonts w:ascii="Times New Roman" w:hAnsi="Times New Roman" w:eastAsia="方正仿宋_GBK" w:cs="Times New Roman"/>
          <w:b/>
          <w:bCs/>
          <w:sz w:val="32"/>
          <w:szCs w:val="32"/>
          <w:highlight w:val="none"/>
          <w:lang w:val="en-US" w:eastAsia="zh-CN"/>
        </w:rPr>
        <w:t xml:space="preserve">、投标有关规定 </w:t>
      </w:r>
    </w:p>
    <w:p w14:paraId="1503C86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（一）单位负责人为同一人或者存在直接控股、管理关系的不同投标人，不得参加同一合同项（包）下的采购活动。 </w:t>
      </w:r>
    </w:p>
    <w:p w14:paraId="1D8E441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（二）本项目招标文件公告、截标时间公告、澄清文件（若有）等一律在“重庆财经学院官网（http://www.cfec.edu.cn）上发布；无论投标人下载或领取与否，均视同投标人已知晓本项目的所有内容。 </w:t>
      </w:r>
    </w:p>
    <w:p w14:paraId="4772493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FF0000"/>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（三）超过投标截止时间递交的投标文件，恕不接收。 </w:t>
      </w:r>
      <w:r>
        <w:rPr>
          <w:rFonts w:ascii="Times New Roman" w:hAnsi="Times New Roman" w:eastAsia="方正仿宋_GBK" w:cs="Times New Roman"/>
          <w:b/>
          <w:bCs/>
          <w:sz w:val="32"/>
          <w:szCs w:val="32"/>
          <w:highlight w:val="none"/>
        </w:rPr>
        <w:t>本次招标不接受邮寄的投标文件。</w:t>
      </w:r>
    </w:p>
    <w:p w14:paraId="0FE56AA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（四）投标费用：无论投标结果如何，投标人参与本项目投标的所有费用均应由投标人自行承担。投标资格不得转让 。</w:t>
      </w:r>
    </w:p>
    <w:p w14:paraId="13B82C5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（五）本项目不接受联合体参与投标。 </w:t>
      </w:r>
    </w:p>
    <w:p w14:paraId="59050A8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（六）按照《财政部关于在政府采购活动中查询及使用信用记录有关问题的通知》财库〔</w:t>
      </w:r>
      <w:r>
        <w:rPr>
          <w:rFonts w:hint="default" w:ascii="Times New Roman" w:hAnsi="Times New Roman" w:eastAsia="方正仿宋_GBK" w:cs="Times New Roman"/>
          <w:sz w:val="32"/>
          <w:szCs w:val="32"/>
          <w:highlight w:val="none"/>
          <w:lang w:val="en-US" w:eastAsia="zh-CN"/>
        </w:rPr>
        <w:t>2016</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 xml:space="preserve">125 </w:t>
      </w:r>
      <w:r>
        <w:rPr>
          <w:rFonts w:hint="eastAsia" w:ascii="Times New Roman" w:hAnsi="Times New Roman" w:eastAsia="方正仿宋_GBK" w:cs="Times New Roman"/>
          <w:sz w:val="32"/>
          <w:szCs w:val="32"/>
          <w:highlight w:val="none"/>
          <w:lang w:val="en-US" w:eastAsia="zh-CN"/>
        </w:rPr>
        <w:t>号，投标人列入失信被执行人、重大税收违法案件当事人名单、政府采购严重违法失信行为记录名单及其他不符合《中华人民共和国政府采购法》第二十二条规定条件的投标人，将拒绝其参与本次采购活动。</w:t>
      </w:r>
    </w:p>
    <w:p w14:paraId="096417F1">
      <w:pPr>
        <w:spacing w:line="380" w:lineRule="exact"/>
        <w:ind w:firstLine="640" w:firstLineChars="200"/>
        <w:rPr>
          <w:rFonts w:hint="eastAsia" w:ascii="仿宋" w:hAnsi="仿宋" w:eastAsia="仿宋" w:cs="仿宋"/>
          <w:b/>
          <w:bCs/>
          <w:sz w:val="30"/>
          <w:szCs w:val="30"/>
        </w:rPr>
      </w:pPr>
      <w:r>
        <w:rPr>
          <w:rFonts w:hint="eastAsia" w:ascii="Times New Roman" w:hAnsi="Times New Roman" w:eastAsia="方正仿宋_GBK" w:cs="Times New Roman"/>
          <w:b/>
          <w:bCs/>
          <w:sz w:val="32"/>
          <w:szCs w:val="32"/>
          <w:highlight w:val="none"/>
          <w:lang w:val="en-US" w:eastAsia="zh-CN"/>
        </w:rPr>
        <w:t>七、开标相关要求</w:t>
      </w:r>
    </w:p>
    <w:p w14:paraId="446CC20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投标单位要在现场进行15分钟的系统演示，请自备电脑。</w:t>
      </w:r>
    </w:p>
    <w:p w14:paraId="2B3190C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八、联系方式（收件地址）</w:t>
      </w:r>
    </w:p>
    <w:p w14:paraId="5BB9B13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联系人：</w:t>
      </w:r>
      <w:r>
        <w:rPr>
          <w:rFonts w:hint="eastAsia" w:ascii="Times New Roman" w:hAnsi="Times New Roman" w:eastAsia="方正仿宋_GBK" w:cs="Times New Roman"/>
          <w:sz w:val="32"/>
          <w:szCs w:val="32"/>
          <w:highlight w:val="none"/>
          <w:lang w:eastAsia="zh-CN"/>
        </w:rPr>
        <w:t>朱</w:t>
      </w:r>
      <w:r>
        <w:rPr>
          <w:rFonts w:ascii="Times New Roman" w:hAnsi="Times New Roman" w:eastAsia="方正仿宋_GBK" w:cs="Times New Roman"/>
          <w:sz w:val="32"/>
          <w:szCs w:val="32"/>
          <w:highlight w:val="none"/>
        </w:rPr>
        <w:t xml:space="preserve">老师   </w:t>
      </w:r>
    </w:p>
    <w:p w14:paraId="3C304F7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ascii="Times New Roman" w:hAnsi="Times New Roman" w:eastAsia="方正仿宋_GBK" w:cs="Times New Roman"/>
          <w:sz w:val="32"/>
          <w:szCs w:val="32"/>
          <w:highlight w:val="none"/>
        </w:rPr>
        <w:t>联系电话：</w:t>
      </w:r>
      <w:r>
        <w:rPr>
          <w:rFonts w:hint="eastAsia" w:ascii="Times New Roman" w:hAnsi="Times New Roman" w:eastAsia="方正仿宋_GBK" w:cs="Times New Roman"/>
          <w:sz w:val="32"/>
          <w:szCs w:val="32"/>
          <w:highlight w:val="none"/>
          <w:lang w:val="en-US" w:eastAsia="zh-CN"/>
        </w:rPr>
        <w:t>023-</w:t>
      </w:r>
      <w:r>
        <w:rPr>
          <w:rFonts w:ascii="Times New Roman" w:hAnsi="Times New Roman" w:eastAsia="方正仿宋_GBK" w:cs="Times New Roman"/>
          <w:sz w:val="32"/>
          <w:szCs w:val="32"/>
          <w:highlight w:val="none"/>
        </w:rPr>
        <w:t>88968</w:t>
      </w:r>
      <w:r>
        <w:rPr>
          <w:rFonts w:hint="eastAsia" w:ascii="Times New Roman" w:hAnsi="Times New Roman" w:eastAsia="方正仿宋_GBK" w:cs="Times New Roman"/>
          <w:sz w:val="32"/>
          <w:szCs w:val="32"/>
          <w:highlight w:val="none"/>
          <w:lang w:val="en-US" w:eastAsia="zh-CN"/>
        </w:rPr>
        <w:t>736 / 13272608984</w:t>
      </w:r>
    </w:p>
    <w:p w14:paraId="163877D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技术咨询：刘老师，电话：18996159470</w:t>
      </w:r>
    </w:p>
    <w:p w14:paraId="4F38C3B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招标人：重庆财经学院</w:t>
      </w:r>
    </w:p>
    <w:p w14:paraId="1135BD0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地址：重庆市巴南区龙洲湾尚文大道906号</w:t>
      </w:r>
      <w:r>
        <w:rPr>
          <w:rFonts w:hint="eastAsia" w:ascii="Times New Roman" w:hAnsi="Times New Roman" w:eastAsia="方正仿宋_GBK" w:cs="Times New Roman"/>
          <w:sz w:val="32"/>
          <w:szCs w:val="32"/>
          <w:highlight w:val="none"/>
          <w:lang w:val="en-US" w:eastAsia="zh-CN"/>
        </w:rPr>
        <w:t>行政楼2420后勤处。</w:t>
      </w:r>
    </w:p>
    <w:p w14:paraId="544A1970">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sz w:val="32"/>
          <w:szCs w:val="32"/>
          <w:highlight w:val="none"/>
          <w:lang w:val="en-US" w:eastAsia="zh-CN"/>
        </w:rPr>
      </w:pPr>
    </w:p>
    <w:p w14:paraId="0B5421F8">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sz w:val="32"/>
          <w:szCs w:val="32"/>
          <w:highlight w:val="none"/>
          <w:lang w:val="en-US" w:eastAsia="zh-CN"/>
        </w:rPr>
      </w:pPr>
    </w:p>
    <w:p w14:paraId="783354EA">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br w:type="page"/>
      </w:r>
    </w:p>
    <w:p w14:paraId="644D809A">
      <w:pPr>
        <w:pStyle w:val="2"/>
        <w:numPr>
          <w:ilvl w:val="0"/>
          <w:numId w:val="0"/>
        </w:numPr>
        <w:spacing w:before="0" w:after="0" w:line="520" w:lineRule="exact"/>
        <w:ind w:left="432"/>
        <w:jc w:val="center"/>
        <w:rPr>
          <w:rFonts w:ascii="Times New Roman" w:hAnsi="Times New Roman" w:eastAsia="方正小标宋_GBK" w:cs="Times New Roman"/>
          <w:highlight w:val="none"/>
        </w:rPr>
      </w:pPr>
      <w:bookmarkStart w:id="0" w:name="_Toc481694468"/>
      <w:bookmarkStart w:id="1" w:name="_Toc224103315"/>
      <w:bookmarkStart w:id="2" w:name="_Toc531594734"/>
      <w:bookmarkStart w:id="3" w:name="_Toc30163"/>
      <w:bookmarkStart w:id="4" w:name="_Toc484637073"/>
      <w:bookmarkStart w:id="5" w:name="_Toc287607744"/>
      <w:r>
        <w:rPr>
          <w:rFonts w:ascii="Times New Roman" w:hAnsi="Times New Roman" w:eastAsia="方正小标宋_GBK" w:cs="Times New Roman"/>
          <w:highlight w:val="none"/>
        </w:rPr>
        <w:t>第二章 投标人需知</w:t>
      </w:r>
      <w:bookmarkEnd w:id="0"/>
      <w:bookmarkEnd w:id="1"/>
      <w:bookmarkEnd w:id="2"/>
      <w:bookmarkEnd w:id="3"/>
      <w:bookmarkEnd w:id="4"/>
      <w:bookmarkEnd w:id="5"/>
    </w:p>
    <w:p w14:paraId="0C4B8DDB">
      <w:pPr>
        <w:rPr>
          <w:rFonts w:ascii="Times New Roman" w:hAnsi="Times New Roman" w:cs="Times New Roman"/>
          <w:highlight w:val="none"/>
        </w:rPr>
      </w:pPr>
    </w:p>
    <w:p w14:paraId="498DD257">
      <w:pPr>
        <w:jc w:val="center"/>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（投标人需知前附表）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14:paraId="5666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0CB2DE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条款号</w:t>
            </w:r>
          </w:p>
        </w:tc>
        <w:tc>
          <w:tcPr>
            <w:tcW w:w="1515" w:type="dxa"/>
            <w:tcBorders>
              <w:top w:val="single" w:color="auto" w:sz="4" w:space="0"/>
              <w:left w:val="single" w:color="auto" w:sz="4" w:space="0"/>
              <w:bottom w:val="single" w:color="auto" w:sz="4" w:space="0"/>
              <w:right w:val="single" w:color="auto" w:sz="4" w:space="0"/>
            </w:tcBorders>
            <w:vAlign w:val="center"/>
          </w:tcPr>
          <w:p w14:paraId="6DAC7F4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14:paraId="0D9CE0B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编  列  内  容</w:t>
            </w:r>
          </w:p>
        </w:tc>
      </w:tr>
      <w:tr w14:paraId="419F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14:paraId="248532D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24FCBAE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14:paraId="0E99E983">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重庆财经学院</w:t>
            </w:r>
            <w:r>
              <w:rPr>
                <w:rFonts w:hint="eastAsia" w:ascii="Times New Roman" w:hAnsi="Times New Roman" w:eastAsia="方正仿宋_GBK" w:cs="Times New Roman"/>
                <w:sz w:val="28"/>
                <w:szCs w:val="28"/>
                <w:highlight w:val="none"/>
                <w:lang w:eastAsia="zh-CN"/>
              </w:rPr>
              <w:t>固定资产管理系统建设采购项目</w:t>
            </w:r>
          </w:p>
        </w:tc>
      </w:tr>
      <w:tr w14:paraId="3438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602ED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1.1.2</w:t>
            </w:r>
          </w:p>
        </w:tc>
        <w:tc>
          <w:tcPr>
            <w:tcW w:w="1515" w:type="dxa"/>
            <w:tcBorders>
              <w:top w:val="single" w:color="auto" w:sz="4" w:space="0"/>
              <w:left w:val="single" w:color="auto" w:sz="4" w:space="0"/>
              <w:bottom w:val="single" w:color="auto" w:sz="4" w:space="0"/>
              <w:right w:val="single" w:color="auto" w:sz="4" w:space="0"/>
            </w:tcBorders>
            <w:vAlign w:val="center"/>
          </w:tcPr>
          <w:p w14:paraId="51F0C05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招标人</w:t>
            </w:r>
          </w:p>
        </w:tc>
        <w:tc>
          <w:tcPr>
            <w:tcW w:w="6092" w:type="dxa"/>
            <w:tcBorders>
              <w:top w:val="single" w:color="auto" w:sz="4" w:space="0"/>
              <w:left w:val="single" w:color="auto" w:sz="4" w:space="0"/>
              <w:bottom w:val="single" w:color="auto" w:sz="4" w:space="0"/>
              <w:right w:val="single" w:color="auto" w:sz="4" w:space="0"/>
            </w:tcBorders>
            <w:vAlign w:val="center"/>
          </w:tcPr>
          <w:p w14:paraId="1C0FE78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单位名称：重庆财经学院</w:t>
            </w:r>
          </w:p>
          <w:p w14:paraId="2933088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地   址：重庆市巴南区龙洲湾尚文大道906号</w:t>
            </w:r>
          </w:p>
          <w:p w14:paraId="25DB09F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联系人：</w:t>
            </w:r>
            <w:r>
              <w:rPr>
                <w:rFonts w:hint="eastAsia" w:ascii="Times New Roman" w:hAnsi="Times New Roman" w:eastAsia="方正仿宋_GBK" w:cs="Times New Roman"/>
                <w:sz w:val="28"/>
                <w:szCs w:val="28"/>
                <w:highlight w:val="none"/>
                <w:lang w:val="en-US" w:eastAsia="zh-CN"/>
              </w:rPr>
              <w:t>朱</w:t>
            </w:r>
            <w:r>
              <w:rPr>
                <w:rFonts w:ascii="Times New Roman" w:hAnsi="Times New Roman" w:eastAsia="方正仿宋_GBK" w:cs="Times New Roman"/>
                <w:sz w:val="28"/>
                <w:szCs w:val="28"/>
                <w:highlight w:val="none"/>
              </w:rPr>
              <w:t xml:space="preserve">老师  </w:t>
            </w:r>
          </w:p>
          <w:p w14:paraId="5F1B4524">
            <w:pPr>
              <w:spacing w:line="400" w:lineRule="exact"/>
              <w:rPr>
                <w:rFonts w:hint="default"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电   话：88968</w:t>
            </w:r>
            <w:r>
              <w:rPr>
                <w:rFonts w:hint="eastAsia" w:ascii="Times New Roman" w:hAnsi="Times New Roman" w:eastAsia="方正仿宋_GBK" w:cs="Times New Roman"/>
                <w:sz w:val="28"/>
                <w:szCs w:val="28"/>
                <w:highlight w:val="none"/>
                <w:lang w:val="en-US" w:eastAsia="zh-CN"/>
              </w:rPr>
              <w:t>736</w:t>
            </w:r>
          </w:p>
        </w:tc>
      </w:tr>
      <w:tr w14:paraId="684C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0758F7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1.2.1</w:t>
            </w:r>
          </w:p>
        </w:tc>
        <w:tc>
          <w:tcPr>
            <w:tcW w:w="1515" w:type="dxa"/>
            <w:tcBorders>
              <w:top w:val="single" w:color="auto" w:sz="4" w:space="0"/>
              <w:left w:val="single" w:color="auto" w:sz="4" w:space="0"/>
              <w:bottom w:val="single" w:color="auto" w:sz="4" w:space="0"/>
              <w:right w:val="single" w:color="auto" w:sz="4" w:space="0"/>
            </w:tcBorders>
            <w:vAlign w:val="center"/>
          </w:tcPr>
          <w:p w14:paraId="690EEA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14:paraId="7C51C70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招标人自筹</w:t>
            </w:r>
          </w:p>
        </w:tc>
      </w:tr>
      <w:tr w14:paraId="592E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834B36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1.3.1</w:t>
            </w:r>
          </w:p>
        </w:tc>
        <w:tc>
          <w:tcPr>
            <w:tcW w:w="1515" w:type="dxa"/>
            <w:tcBorders>
              <w:top w:val="single" w:color="auto" w:sz="4" w:space="0"/>
              <w:left w:val="single" w:color="auto" w:sz="4" w:space="0"/>
              <w:bottom w:val="single" w:color="auto" w:sz="4" w:space="0"/>
              <w:right w:val="single" w:color="auto" w:sz="4" w:space="0"/>
            </w:tcBorders>
            <w:vAlign w:val="center"/>
          </w:tcPr>
          <w:p w14:paraId="78D3F55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14:paraId="767748B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详见招标文件第三章 </w:t>
            </w:r>
            <w:r>
              <w:rPr>
                <w:rFonts w:hint="eastAsia" w:ascii="Times New Roman" w:hAnsi="Times New Roman" w:eastAsia="方正仿宋_GBK" w:cs="Times New Roman"/>
                <w:sz w:val="28"/>
                <w:szCs w:val="28"/>
                <w:highlight w:val="none"/>
              </w:rPr>
              <w:t>招标数量及参数要求</w:t>
            </w:r>
          </w:p>
        </w:tc>
      </w:tr>
      <w:tr w14:paraId="0682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14:paraId="69206B8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1.3.2</w:t>
            </w:r>
          </w:p>
        </w:tc>
        <w:tc>
          <w:tcPr>
            <w:tcW w:w="1515" w:type="dxa"/>
            <w:tcBorders>
              <w:top w:val="single" w:color="auto" w:sz="4" w:space="0"/>
              <w:left w:val="single" w:color="auto" w:sz="4" w:space="0"/>
              <w:bottom w:val="single" w:color="auto" w:sz="4" w:space="0"/>
              <w:right w:val="single" w:color="auto" w:sz="4" w:space="0"/>
            </w:tcBorders>
            <w:vAlign w:val="center"/>
          </w:tcPr>
          <w:p w14:paraId="1BCA063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交货方式</w:t>
            </w:r>
          </w:p>
          <w:p w14:paraId="305E371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交货时间</w:t>
            </w:r>
          </w:p>
        </w:tc>
        <w:tc>
          <w:tcPr>
            <w:tcW w:w="6092" w:type="dxa"/>
            <w:tcBorders>
              <w:top w:val="single" w:color="auto" w:sz="4" w:space="0"/>
              <w:left w:val="single" w:color="auto" w:sz="4" w:space="0"/>
              <w:bottom w:val="single" w:color="auto" w:sz="4" w:space="0"/>
              <w:right w:val="single" w:color="auto" w:sz="4" w:space="0"/>
            </w:tcBorders>
            <w:vAlign w:val="center"/>
          </w:tcPr>
          <w:p w14:paraId="3BEBD63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1.交货方式：重庆财经学院指定位置。</w:t>
            </w:r>
          </w:p>
          <w:p w14:paraId="19053D9B">
            <w:pPr>
              <w:spacing w:line="400" w:lineRule="exact"/>
              <w:rPr>
                <w:rFonts w:hint="eastAsia" w:ascii="Times New Roman" w:hAnsi="Times New Roman" w:eastAsia="方正仿宋_GBK" w:cs="Times New Roman"/>
                <w:sz w:val="28"/>
                <w:szCs w:val="28"/>
                <w:highlight w:val="none"/>
                <w:lang w:eastAsia="zh-CN"/>
              </w:rPr>
            </w:pPr>
            <w:r>
              <w:rPr>
                <w:rFonts w:ascii="Times New Roman" w:hAnsi="Times New Roman" w:eastAsia="方正仿宋_GBK" w:cs="Times New Roman"/>
                <w:sz w:val="28"/>
                <w:szCs w:val="28"/>
                <w:highlight w:val="none"/>
              </w:rPr>
              <w:t>2.交货时间：</w:t>
            </w:r>
            <w:r>
              <w:rPr>
                <w:rFonts w:hint="eastAsia" w:ascii="Times New Roman" w:hAnsi="Times New Roman" w:eastAsia="方正仿宋_GBK" w:cs="Times New Roman"/>
                <w:sz w:val="28"/>
                <w:szCs w:val="28"/>
                <w:highlight w:val="none"/>
                <w:lang w:val="en-US" w:eastAsia="zh-CN"/>
              </w:rPr>
              <w:t>中标人应在采购合同签订后,30个工作日内完成系统部署、数据迁移、系统试运行版本上线；60个工作日内完成培训及运行调试。</w:t>
            </w:r>
          </w:p>
        </w:tc>
      </w:tr>
      <w:tr w14:paraId="464D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865" w:type="dxa"/>
            <w:tcBorders>
              <w:top w:val="single" w:color="auto" w:sz="4" w:space="0"/>
              <w:left w:val="single" w:color="auto" w:sz="4" w:space="0"/>
              <w:bottom w:val="single" w:color="auto" w:sz="4" w:space="0"/>
              <w:right w:val="single" w:color="auto" w:sz="4" w:space="0"/>
            </w:tcBorders>
            <w:vAlign w:val="center"/>
          </w:tcPr>
          <w:p w14:paraId="55E6BD4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1.3.3</w:t>
            </w:r>
          </w:p>
        </w:tc>
        <w:tc>
          <w:tcPr>
            <w:tcW w:w="1515" w:type="dxa"/>
            <w:tcBorders>
              <w:top w:val="single" w:color="auto" w:sz="4" w:space="0"/>
              <w:left w:val="single" w:color="auto" w:sz="4" w:space="0"/>
              <w:bottom w:val="single" w:color="auto" w:sz="4" w:space="0"/>
              <w:right w:val="single" w:color="auto" w:sz="4" w:space="0"/>
            </w:tcBorders>
            <w:vAlign w:val="center"/>
          </w:tcPr>
          <w:p w14:paraId="0FF95F2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伴随服务要求</w:t>
            </w:r>
          </w:p>
        </w:tc>
        <w:tc>
          <w:tcPr>
            <w:tcW w:w="6092" w:type="dxa"/>
            <w:tcBorders>
              <w:top w:val="single" w:color="auto" w:sz="4" w:space="0"/>
              <w:left w:val="single" w:color="auto" w:sz="4" w:space="0"/>
              <w:bottom w:val="single" w:color="auto" w:sz="4" w:space="0"/>
              <w:right w:val="single" w:color="auto" w:sz="4" w:space="0"/>
            </w:tcBorders>
            <w:vAlign w:val="center"/>
          </w:tcPr>
          <w:p w14:paraId="10D43823">
            <w:pPr>
              <w:numPr>
                <w:ilvl w:val="-1"/>
                <w:numId w:val="0"/>
              </w:numPr>
              <w:spacing w:line="400" w:lineRule="exact"/>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‌培训服务‌：</w:t>
            </w:r>
            <w:r>
              <w:rPr>
                <w:rFonts w:hint="eastAsia" w:ascii="Times New Roman" w:hAnsi="Times New Roman" w:eastAsia="方正仿宋_GBK" w:cs="Times New Roman"/>
                <w:color w:val="auto"/>
                <w:sz w:val="28"/>
                <w:szCs w:val="28"/>
                <w:highlight w:val="none"/>
                <w:lang w:val="en-US" w:eastAsia="zh-CN"/>
              </w:rPr>
              <w:t>提供不少于3场现场培训；培训对象覆盖系统管理员、资产管理员、财务人员、普通用户等不同角色；培训内容包括系统操作、日常维护、常见问题处理等。</w:t>
            </w:r>
          </w:p>
        </w:tc>
      </w:tr>
      <w:tr w14:paraId="5FB3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865" w:type="dxa"/>
            <w:tcBorders>
              <w:top w:val="single" w:color="auto" w:sz="4" w:space="0"/>
              <w:left w:val="single" w:color="auto" w:sz="4" w:space="0"/>
              <w:bottom w:val="single" w:color="auto" w:sz="4" w:space="0"/>
              <w:right w:val="single" w:color="auto" w:sz="4" w:space="0"/>
            </w:tcBorders>
            <w:vAlign w:val="center"/>
          </w:tcPr>
          <w:p w14:paraId="30194A8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1.3.4</w:t>
            </w:r>
          </w:p>
        </w:tc>
        <w:tc>
          <w:tcPr>
            <w:tcW w:w="1515" w:type="dxa"/>
            <w:tcBorders>
              <w:top w:val="single" w:color="auto" w:sz="4" w:space="0"/>
              <w:left w:val="single" w:color="auto" w:sz="4" w:space="0"/>
              <w:bottom w:val="single" w:color="auto" w:sz="4" w:space="0"/>
              <w:right w:val="single" w:color="auto" w:sz="4" w:space="0"/>
            </w:tcBorders>
            <w:vAlign w:val="center"/>
          </w:tcPr>
          <w:p w14:paraId="554C070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14:paraId="28B5C4B0">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投标人应明确承诺：提供至少3年免费质保期。</w:t>
            </w:r>
          </w:p>
        </w:tc>
      </w:tr>
      <w:tr w14:paraId="65E7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89DC4F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1.3.5</w:t>
            </w:r>
          </w:p>
        </w:tc>
        <w:tc>
          <w:tcPr>
            <w:tcW w:w="1515" w:type="dxa"/>
            <w:tcBorders>
              <w:top w:val="single" w:color="auto" w:sz="4" w:space="0"/>
              <w:left w:val="single" w:color="auto" w:sz="4" w:space="0"/>
              <w:bottom w:val="single" w:color="auto" w:sz="4" w:space="0"/>
              <w:right w:val="single" w:color="auto" w:sz="4" w:space="0"/>
            </w:tcBorders>
            <w:vAlign w:val="center"/>
          </w:tcPr>
          <w:p w14:paraId="5799D70D">
            <w:pPr>
              <w:spacing w:line="400" w:lineRule="exact"/>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质量要求</w:t>
            </w:r>
          </w:p>
        </w:tc>
        <w:tc>
          <w:tcPr>
            <w:tcW w:w="6092" w:type="dxa"/>
            <w:tcBorders>
              <w:top w:val="single" w:color="auto" w:sz="4" w:space="0"/>
              <w:left w:val="single" w:color="auto" w:sz="4" w:space="0"/>
              <w:bottom w:val="single" w:color="auto" w:sz="4" w:space="0"/>
              <w:right w:val="single" w:color="auto" w:sz="4" w:space="0"/>
            </w:tcBorders>
            <w:vAlign w:val="center"/>
          </w:tcPr>
          <w:p w14:paraId="43DBE4DD">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color w:val="auto"/>
                <w:sz w:val="28"/>
                <w:szCs w:val="28"/>
                <w:highlight w:val="none"/>
                <w:lang w:val="en-US" w:eastAsia="zh-CN"/>
              </w:rPr>
              <w:t>确保提供符合招标要求的合格产品；采购人在中华人民共和国境内使用投标人提供的货物及服务时免受第三方提出的侵犯其专利权或其它知识产权的起诉。如果第三方提出侵权指控，中标人应承担由此而引起的一切法律责任和费用。</w:t>
            </w:r>
          </w:p>
        </w:tc>
      </w:tr>
      <w:tr w14:paraId="113B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09FBC8E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1.3.6</w:t>
            </w:r>
          </w:p>
        </w:tc>
        <w:tc>
          <w:tcPr>
            <w:tcW w:w="1515" w:type="dxa"/>
            <w:tcBorders>
              <w:top w:val="single" w:color="auto" w:sz="4" w:space="0"/>
              <w:left w:val="single" w:color="auto" w:sz="4" w:space="0"/>
              <w:bottom w:val="single" w:color="auto" w:sz="4" w:space="0"/>
              <w:right w:val="single" w:color="auto" w:sz="4" w:space="0"/>
            </w:tcBorders>
            <w:vAlign w:val="center"/>
          </w:tcPr>
          <w:p w14:paraId="1B55FA1E">
            <w:pPr>
              <w:widowControl/>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售后服务</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center"/>
          </w:tcPr>
          <w:p w14:paraId="40C203D2">
            <w:p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1.质保期内</w:t>
            </w:r>
            <w:r>
              <w:rPr>
                <w:rFonts w:hint="default" w:ascii="Times New Roman" w:hAnsi="Times New Roman" w:eastAsia="方正仿宋_GBK" w:cs="Times New Roman"/>
                <w:color w:val="auto"/>
                <w:sz w:val="28"/>
                <w:szCs w:val="28"/>
                <w:highlight w:val="none"/>
                <w:lang w:val="en-US" w:eastAsia="zh-CN"/>
              </w:rPr>
              <w:t>‌服务承诺</w:t>
            </w:r>
          </w:p>
          <w:p w14:paraId="48596A54">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（1）投标人和制造商在质量保证期内应当为采购人提供，</w:t>
            </w:r>
            <w:r>
              <w:rPr>
                <w:rFonts w:hint="default" w:ascii="Times New Roman" w:hAnsi="Times New Roman" w:eastAsia="方正仿宋_GBK" w:cs="Times New Roman"/>
                <w:color w:val="auto"/>
                <w:sz w:val="28"/>
                <w:szCs w:val="28"/>
                <w:highlight w:val="none"/>
                <w:lang w:val="en-US" w:eastAsia="zh-CN"/>
              </w:rPr>
              <w:t>包括故障处理、BUG修复、系统升级及运营保障。</w:t>
            </w:r>
            <w:r>
              <w:rPr>
                <w:rFonts w:hint="eastAsia" w:ascii="Times New Roman" w:hAnsi="Times New Roman" w:eastAsia="方正仿宋_GBK" w:cs="Times New Roman"/>
                <w:color w:val="auto"/>
                <w:sz w:val="28"/>
                <w:szCs w:val="28"/>
                <w:highlight w:val="none"/>
                <w:lang w:val="en-US" w:eastAsia="zh-CN"/>
              </w:rPr>
              <w:t>详情如下：</w:t>
            </w:r>
          </w:p>
          <w:p w14:paraId="6D220E8B">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①提供7×24小时服务响应，紧急故障响应时间 ≤ 4 小时，解答采购人在使用中遇到的问题，及时为采购人提出解决问题的建议。</w:t>
            </w:r>
          </w:p>
          <w:p w14:paraId="68AC3415">
            <w:p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②免费修复系统缺陷、提供技术支持。</w:t>
            </w:r>
          </w:p>
          <w:p w14:paraId="0FAE22B7">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③</w:t>
            </w:r>
            <w:r>
              <w:rPr>
                <w:rFonts w:hint="default" w:ascii="Times New Roman" w:hAnsi="Times New Roman" w:eastAsia="方正仿宋_GBK" w:cs="Times New Roman"/>
                <w:color w:val="auto"/>
                <w:sz w:val="28"/>
                <w:szCs w:val="28"/>
                <w:highlight w:val="none"/>
                <w:lang w:val="en-US" w:eastAsia="zh-CN"/>
              </w:rPr>
              <w:t>免费提供系统升级、补丁更新服务</w:t>
            </w:r>
            <w:r>
              <w:rPr>
                <w:rFonts w:hint="eastAsia" w:ascii="Times New Roman" w:hAnsi="Times New Roman" w:eastAsia="方正仿宋_GBK" w:cs="Times New Roman"/>
                <w:color w:val="auto"/>
                <w:sz w:val="28"/>
                <w:szCs w:val="28"/>
                <w:highlight w:val="none"/>
                <w:lang w:val="en-US" w:eastAsia="zh-CN"/>
              </w:rPr>
              <w:t>。</w:t>
            </w:r>
          </w:p>
          <w:p w14:paraId="428A7EBB">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2.质保期外服务要求：</w:t>
            </w:r>
          </w:p>
          <w:p w14:paraId="11157BDE">
            <w:pPr>
              <w:spacing w:line="400" w:lineRule="exact"/>
              <w:rPr>
                <w:rFonts w:hint="default" w:ascii="Times New Roman" w:hAnsi="Times New Roman" w:eastAsia="方正仿宋_GBK" w:cs="Times New Roman"/>
                <w:color w:val="0000FF"/>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终身免费提供系统安全漏洞的修复服务及技术指导保障软件正常运行</w:t>
            </w:r>
            <w:r>
              <w:rPr>
                <w:rFonts w:hint="default" w:ascii="Times New Roman" w:hAnsi="Times New Roman" w:eastAsia="方正仿宋_GBK" w:cs="Times New Roman"/>
                <w:color w:val="auto"/>
                <w:sz w:val="28"/>
                <w:szCs w:val="28"/>
                <w:highlight w:val="none"/>
                <w:lang w:val="en-US" w:eastAsia="zh-CN"/>
              </w:rPr>
              <w:t>。</w:t>
            </w:r>
          </w:p>
        </w:tc>
      </w:tr>
      <w:tr w14:paraId="071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ABB752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1.3.7</w:t>
            </w:r>
          </w:p>
        </w:tc>
        <w:tc>
          <w:tcPr>
            <w:tcW w:w="1515" w:type="dxa"/>
            <w:tcBorders>
              <w:top w:val="single" w:color="auto" w:sz="4" w:space="0"/>
              <w:left w:val="single" w:color="auto" w:sz="4" w:space="0"/>
              <w:bottom w:val="single" w:color="auto" w:sz="4" w:space="0"/>
              <w:right w:val="single" w:color="auto" w:sz="4" w:space="0"/>
            </w:tcBorders>
            <w:vAlign w:val="center"/>
          </w:tcPr>
          <w:p w14:paraId="74898EC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项目验收</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top"/>
          </w:tcPr>
          <w:p w14:paraId="31E3B9C3">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软件产品到达现场后，中标人应在使用单位人员在场情况下，当面交付安装介质（或提供授权文件、下载链接等），共同核对软件名称、版本、授权数量及相关文档，检查外观（如光盘、加密锁等），作出交付记录，双方签字确认。</w:t>
            </w:r>
          </w:p>
          <w:p w14:paraId="44ACEE1D">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2.中标人应保证所交付的软件及相关资料完整、可用，如存在功能缺失、授权不符、介质损坏等情况，由中标人负责调换、补充或赔偿。</w:t>
            </w:r>
          </w:p>
          <w:p w14:paraId="683C496C">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3.中标人应提供完备的技术资料（包括安装说明、用户手册、管理员手册等）、授权证明文件及质量保证书（或合格证），并派遣专业技术人员进行现场或远程安装调试，确保软件正常运行。</w:t>
            </w:r>
          </w:p>
          <w:p w14:paraId="32B37FDD">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b/>
                <w:bCs/>
                <w:color w:val="auto"/>
                <w:sz w:val="28"/>
                <w:szCs w:val="28"/>
                <w:highlight w:val="none"/>
                <w:lang w:val="en-US" w:eastAsia="zh-CN"/>
              </w:rPr>
              <w:t>验收合格条件如下：</w:t>
            </w:r>
          </w:p>
          <w:p w14:paraId="0AAA2BF8">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（1）软件技术参数与采购合同一致，</w:t>
            </w:r>
            <w:r>
              <w:rPr>
                <w:rFonts w:hint="default" w:ascii="Times New Roman" w:hAnsi="Times New Roman" w:eastAsia="方正仿宋_GBK" w:cs="Times New Roman"/>
                <w:color w:val="auto"/>
                <w:sz w:val="28"/>
                <w:szCs w:val="28"/>
                <w:highlight w:val="none"/>
                <w:lang w:val="en-US" w:eastAsia="zh-CN"/>
              </w:rPr>
              <w:t>符合国家或行业标准，</w:t>
            </w:r>
            <w:r>
              <w:rPr>
                <w:rFonts w:hint="eastAsia" w:ascii="Times New Roman" w:hAnsi="Times New Roman" w:eastAsia="方正仿宋_GBK" w:cs="Times New Roman"/>
                <w:color w:val="auto"/>
                <w:sz w:val="28"/>
                <w:szCs w:val="28"/>
                <w:highlight w:val="none"/>
                <w:lang w:val="en-US" w:eastAsia="zh-CN"/>
              </w:rPr>
              <w:t>完全实现招标人功能需求，并</w:t>
            </w:r>
            <w:r>
              <w:rPr>
                <w:rFonts w:hint="default" w:ascii="Times New Roman" w:hAnsi="Times New Roman" w:eastAsia="方正仿宋_GBK" w:cs="Times New Roman"/>
                <w:color w:val="auto"/>
                <w:sz w:val="28"/>
                <w:szCs w:val="28"/>
                <w:highlight w:val="none"/>
                <w:lang w:val="en-US" w:eastAsia="zh-CN"/>
              </w:rPr>
              <w:t>确保无知识产权纠纷‌</w:t>
            </w:r>
            <w:r>
              <w:rPr>
                <w:rFonts w:hint="eastAsia" w:ascii="Times New Roman" w:hAnsi="Times New Roman" w:eastAsia="方正仿宋_GBK" w:cs="Times New Roman"/>
                <w:color w:val="auto"/>
                <w:sz w:val="28"/>
                <w:szCs w:val="28"/>
                <w:highlight w:val="none"/>
                <w:lang w:val="en-US" w:eastAsia="zh-CN"/>
              </w:rPr>
              <w:t>。</w:t>
            </w:r>
          </w:p>
          <w:p w14:paraId="1C962888">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（2）软件技术资料、软件介质、合格证等资料齐全。</w:t>
            </w:r>
          </w:p>
          <w:p w14:paraId="10773911">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（3）在系统试运行期间所出现的问题得到解决，并运行正常。</w:t>
            </w:r>
          </w:p>
          <w:p w14:paraId="06C3BDDC">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（4）交付</w:t>
            </w:r>
            <w:r>
              <w:rPr>
                <w:rFonts w:hint="default" w:ascii="Times New Roman" w:hAnsi="Times New Roman" w:eastAsia="方正仿宋_GBK" w:cs="Times New Roman"/>
                <w:color w:val="auto"/>
                <w:sz w:val="28"/>
                <w:szCs w:val="28"/>
                <w:highlight w:val="none"/>
                <w:lang w:val="en-US" w:eastAsia="zh-CN"/>
              </w:rPr>
              <w:t>系统软件安装包及部署手册</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用户操作手册、管理员维护手册</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接口说明文档及二次开发指南</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培训资料（含培训视频）</w:t>
            </w:r>
            <w:r>
              <w:rPr>
                <w:rFonts w:hint="eastAsia" w:ascii="Times New Roman" w:hAnsi="Times New Roman" w:eastAsia="方正仿宋_GBK" w:cs="Times New Roman"/>
                <w:color w:val="auto"/>
                <w:sz w:val="28"/>
                <w:szCs w:val="28"/>
                <w:highlight w:val="none"/>
                <w:lang w:val="en-US" w:eastAsia="zh-CN"/>
              </w:rPr>
              <w:t>。</w:t>
            </w:r>
          </w:p>
          <w:p w14:paraId="2383BA49">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（5）投标人完成培训等伴随服务。</w:t>
            </w:r>
          </w:p>
          <w:p w14:paraId="47F27F7B">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（6）投标人</w:t>
            </w:r>
            <w:r>
              <w:rPr>
                <w:rFonts w:hint="default" w:ascii="Times New Roman" w:hAnsi="Times New Roman" w:eastAsia="方正仿宋_GBK" w:cs="Times New Roman"/>
                <w:color w:val="auto"/>
                <w:sz w:val="28"/>
                <w:szCs w:val="28"/>
                <w:highlight w:val="none"/>
                <w:lang w:val="en-US" w:eastAsia="zh-CN"/>
              </w:rPr>
              <w:t>需</w:t>
            </w:r>
            <w:r>
              <w:rPr>
                <w:rFonts w:hint="eastAsia" w:ascii="Times New Roman" w:hAnsi="Times New Roman" w:eastAsia="方正仿宋_GBK" w:cs="Times New Roman"/>
                <w:color w:val="auto"/>
                <w:sz w:val="28"/>
                <w:szCs w:val="28"/>
                <w:highlight w:val="none"/>
                <w:lang w:val="en-US" w:eastAsia="zh-CN"/>
              </w:rPr>
              <w:t>在规定时间内</w:t>
            </w:r>
            <w:r>
              <w:rPr>
                <w:rFonts w:hint="default" w:ascii="Times New Roman" w:hAnsi="Times New Roman" w:eastAsia="方正仿宋_GBK" w:cs="Times New Roman"/>
                <w:color w:val="auto"/>
                <w:sz w:val="28"/>
                <w:szCs w:val="28"/>
                <w:highlight w:val="none"/>
                <w:lang w:val="en-US" w:eastAsia="zh-CN"/>
              </w:rPr>
              <w:t>完成检测、调试及试运行，</w:t>
            </w:r>
            <w:r>
              <w:rPr>
                <w:rFonts w:hint="eastAsia" w:ascii="Times New Roman" w:hAnsi="Times New Roman" w:eastAsia="方正仿宋_GBK" w:cs="Times New Roman"/>
                <w:color w:val="auto"/>
                <w:sz w:val="28"/>
                <w:szCs w:val="28"/>
                <w:highlight w:val="none"/>
                <w:lang w:val="en-US" w:eastAsia="zh-CN"/>
              </w:rPr>
              <w:t>并经采购人确认。</w:t>
            </w:r>
          </w:p>
          <w:p w14:paraId="51293400">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4.产品在安装调试并试运行符合要求，且成功试运行一个月后才作为最终验收。</w:t>
            </w:r>
          </w:p>
          <w:p w14:paraId="2F3EEB36">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5.投标人提供的产品未达到招标文件规定要求，且对采购人造成损失的，由投标人承担一切责任，并赔偿所造成的损失。</w:t>
            </w:r>
          </w:p>
        </w:tc>
      </w:tr>
      <w:tr w14:paraId="132A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A64DF7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1.4.1</w:t>
            </w:r>
          </w:p>
        </w:tc>
        <w:tc>
          <w:tcPr>
            <w:tcW w:w="1515" w:type="dxa"/>
            <w:tcBorders>
              <w:top w:val="single" w:color="auto" w:sz="4" w:space="0"/>
              <w:left w:val="single" w:color="auto" w:sz="4" w:space="0"/>
              <w:bottom w:val="single" w:color="auto" w:sz="4" w:space="0"/>
              <w:right w:val="single" w:color="auto" w:sz="4" w:space="0"/>
            </w:tcBorders>
            <w:vAlign w:val="center"/>
          </w:tcPr>
          <w:p w14:paraId="2ADE42D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14:paraId="2BB6B45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本项目招标实行资格后审，投标人应具备以下资格条件：</w:t>
            </w:r>
          </w:p>
          <w:p w14:paraId="02A0C4C8">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1．投标人具有独立承担民事责任的能力；</w:t>
            </w:r>
          </w:p>
          <w:p w14:paraId="152C045B">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2．投标人具有良好的商业信誉和健全的财务会计制度，需提供近三年的财务报表；</w:t>
            </w:r>
          </w:p>
          <w:p w14:paraId="43974E0C">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3．投标人具有依法缴纳税收和社会保障资金的良好纪录；</w:t>
            </w:r>
          </w:p>
          <w:p w14:paraId="7D46917B">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4．投标人具有履行合同所必需的专业技术能力；</w:t>
            </w:r>
          </w:p>
          <w:p w14:paraId="657D13E1">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5．投标人参加政府采购活动前三年内，没有骗取中标行为，无不正当理由放弃中标（成交）行为，未进行过恶意投诉，在经营活动中没有违法、违规记录；</w:t>
            </w:r>
          </w:p>
          <w:p w14:paraId="5B1019A6">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 xml:space="preserve">6．投标人具有完善的质量保证和售后服务体系； </w:t>
            </w:r>
          </w:p>
        </w:tc>
      </w:tr>
      <w:tr w14:paraId="3B2C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65" w:type="dxa"/>
            <w:tcBorders>
              <w:top w:val="single" w:color="auto" w:sz="4" w:space="0"/>
              <w:left w:val="single" w:color="auto" w:sz="4" w:space="0"/>
              <w:bottom w:val="single" w:color="auto" w:sz="4" w:space="0"/>
              <w:right w:val="single" w:color="auto" w:sz="4" w:space="0"/>
            </w:tcBorders>
            <w:vAlign w:val="center"/>
          </w:tcPr>
          <w:p w14:paraId="51CC221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1.4.2</w:t>
            </w:r>
          </w:p>
        </w:tc>
        <w:tc>
          <w:tcPr>
            <w:tcW w:w="1515" w:type="dxa"/>
            <w:tcBorders>
              <w:top w:val="single" w:color="auto" w:sz="4" w:space="0"/>
              <w:left w:val="single" w:color="auto" w:sz="4" w:space="0"/>
              <w:bottom w:val="single" w:color="auto" w:sz="4" w:space="0"/>
              <w:right w:val="single" w:color="auto" w:sz="4" w:space="0"/>
            </w:tcBorders>
            <w:vAlign w:val="center"/>
          </w:tcPr>
          <w:p w14:paraId="1F4476E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14:paraId="2092CF7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不接受。</w:t>
            </w:r>
          </w:p>
        </w:tc>
      </w:tr>
      <w:tr w14:paraId="5064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677DAA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1.9.1</w:t>
            </w:r>
          </w:p>
        </w:tc>
        <w:tc>
          <w:tcPr>
            <w:tcW w:w="1515" w:type="dxa"/>
            <w:tcBorders>
              <w:top w:val="single" w:color="auto" w:sz="4" w:space="0"/>
              <w:left w:val="single" w:color="auto" w:sz="4" w:space="0"/>
              <w:bottom w:val="single" w:color="auto" w:sz="4" w:space="0"/>
              <w:right w:val="single" w:color="auto" w:sz="4" w:space="0"/>
            </w:tcBorders>
            <w:vAlign w:val="center"/>
          </w:tcPr>
          <w:p w14:paraId="7F0B41A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14:paraId="6DE39F54">
            <w:pPr>
              <w:tabs>
                <w:tab w:val="center" w:pos="4153"/>
                <w:tab w:val="right" w:pos="8306"/>
              </w:tabs>
              <w:snapToGrid w:val="0"/>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联系人：</w:t>
            </w:r>
            <w:r>
              <w:rPr>
                <w:rFonts w:hint="eastAsia" w:ascii="Times New Roman" w:hAnsi="Times New Roman" w:eastAsia="方正仿宋_GBK" w:cs="Times New Roman"/>
                <w:sz w:val="28"/>
                <w:szCs w:val="28"/>
                <w:highlight w:val="none"/>
                <w:lang w:eastAsia="zh-CN"/>
              </w:rPr>
              <w:t>朱</w:t>
            </w:r>
            <w:r>
              <w:rPr>
                <w:rFonts w:hint="eastAsia" w:ascii="Times New Roman" w:hAnsi="Times New Roman" w:eastAsia="方正仿宋_GBK" w:cs="Times New Roman"/>
                <w:sz w:val="28"/>
                <w:szCs w:val="28"/>
                <w:highlight w:val="none"/>
              </w:rPr>
              <w:t>老师（023-</w:t>
            </w:r>
            <w:r>
              <w:rPr>
                <w:rFonts w:hint="eastAsia" w:ascii="Times New Roman" w:hAnsi="Times New Roman" w:eastAsia="方正仿宋_GBK" w:cs="Times New Roman"/>
                <w:sz w:val="28"/>
                <w:szCs w:val="28"/>
                <w:highlight w:val="none"/>
                <w:lang w:val="en-US" w:eastAsia="zh-CN"/>
              </w:rPr>
              <w:t>88968636</w:t>
            </w:r>
            <w:r>
              <w:rPr>
                <w:rFonts w:hint="eastAsia" w:ascii="Times New Roman" w:hAnsi="Times New Roman" w:eastAsia="方正仿宋_GBK" w:cs="Times New Roman"/>
                <w:sz w:val="28"/>
                <w:szCs w:val="28"/>
                <w:highlight w:val="none"/>
              </w:rPr>
              <w:t>）</w:t>
            </w:r>
          </w:p>
        </w:tc>
      </w:tr>
      <w:tr w14:paraId="2F99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3AE2F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1.10.1</w:t>
            </w:r>
          </w:p>
        </w:tc>
        <w:tc>
          <w:tcPr>
            <w:tcW w:w="1515" w:type="dxa"/>
            <w:tcBorders>
              <w:top w:val="single" w:color="auto" w:sz="4" w:space="0"/>
              <w:left w:val="single" w:color="auto" w:sz="4" w:space="0"/>
              <w:bottom w:val="single" w:color="auto" w:sz="4" w:space="0"/>
              <w:right w:val="single" w:color="auto" w:sz="4" w:space="0"/>
            </w:tcBorders>
            <w:vAlign w:val="center"/>
          </w:tcPr>
          <w:p w14:paraId="3B22593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14:paraId="2FC4E533">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不召开</w:t>
            </w:r>
          </w:p>
        </w:tc>
      </w:tr>
      <w:tr w14:paraId="66E8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60359A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39935CB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是否允许</w:t>
            </w:r>
          </w:p>
          <w:p w14:paraId="6557EA4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分包</w:t>
            </w:r>
          </w:p>
        </w:tc>
        <w:tc>
          <w:tcPr>
            <w:tcW w:w="6092" w:type="dxa"/>
            <w:tcBorders>
              <w:top w:val="single" w:color="auto" w:sz="4" w:space="0"/>
              <w:left w:val="single" w:color="auto" w:sz="4" w:space="0"/>
              <w:bottom w:val="single" w:color="auto" w:sz="4" w:space="0"/>
              <w:right w:val="single" w:color="auto" w:sz="4" w:space="0"/>
            </w:tcBorders>
            <w:vAlign w:val="center"/>
          </w:tcPr>
          <w:p w14:paraId="78C2DEC2">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否</w:t>
            </w:r>
          </w:p>
        </w:tc>
      </w:tr>
      <w:tr w14:paraId="6FD9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7E249E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2.1</w:t>
            </w:r>
          </w:p>
        </w:tc>
        <w:tc>
          <w:tcPr>
            <w:tcW w:w="1515" w:type="dxa"/>
            <w:tcBorders>
              <w:top w:val="single" w:color="auto" w:sz="4" w:space="0"/>
              <w:left w:val="single" w:color="auto" w:sz="4" w:space="0"/>
              <w:bottom w:val="single" w:color="auto" w:sz="4" w:space="0"/>
              <w:right w:val="single" w:color="auto" w:sz="4" w:space="0"/>
            </w:tcBorders>
            <w:vAlign w:val="center"/>
          </w:tcPr>
          <w:p w14:paraId="0F39864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14:paraId="2CE1DC9D">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w:t>
            </w:r>
            <w:r>
              <w:rPr>
                <w:rFonts w:ascii="Times New Roman" w:hAnsi="Times New Roman" w:eastAsia="方正仿宋_GBK" w:cs="Times New Roman"/>
                <w:color w:val="auto"/>
                <w:sz w:val="28"/>
                <w:szCs w:val="28"/>
                <w:highlight w:val="none"/>
              </w:rPr>
              <w:t>文件</w:t>
            </w:r>
            <w:r>
              <w:rPr>
                <w:rFonts w:hint="eastAsia" w:ascii="Times New Roman" w:hAnsi="Times New Roman" w:eastAsia="方正仿宋_GBK" w:cs="Times New Roman"/>
                <w:color w:val="auto"/>
                <w:sz w:val="28"/>
                <w:szCs w:val="28"/>
                <w:highlight w:val="none"/>
                <w:lang w:val="en-US" w:eastAsia="zh-CN"/>
              </w:rPr>
              <w:t>需修改或根据投标人提出的问题进行修改、澄清或答疑，招标人将在网上发出补遗通知，请投标人自行查阅和下载</w:t>
            </w:r>
            <w:r>
              <w:rPr>
                <w:rFonts w:ascii="Times New Roman" w:hAnsi="Times New Roman" w:eastAsia="方正仿宋_GBK" w:cs="Times New Roman"/>
                <w:color w:val="auto"/>
                <w:sz w:val="28"/>
                <w:szCs w:val="28"/>
                <w:highlight w:val="none"/>
              </w:rPr>
              <w:t>。</w:t>
            </w:r>
          </w:p>
        </w:tc>
      </w:tr>
      <w:tr w14:paraId="6074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D616AD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2.2.1</w:t>
            </w:r>
          </w:p>
        </w:tc>
        <w:tc>
          <w:tcPr>
            <w:tcW w:w="1515" w:type="dxa"/>
            <w:tcBorders>
              <w:top w:val="single" w:color="auto" w:sz="4" w:space="0"/>
              <w:left w:val="single" w:color="auto" w:sz="4" w:space="0"/>
              <w:bottom w:val="single" w:color="auto" w:sz="4" w:space="0"/>
              <w:right w:val="single" w:color="auto" w:sz="4" w:space="0"/>
            </w:tcBorders>
            <w:vAlign w:val="center"/>
          </w:tcPr>
          <w:p w14:paraId="1D4BA4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14:paraId="79FD1977">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1.参与本项目的投标人对招标文件如有疑问的，应在规定时间内电话联系023-88968736，以书面形式提交质疑函并附上必要的证明材料。如在规定时间内没有提出疑问，视为完全理解并接受招标文件的所有内容</w:t>
            </w:r>
            <w:r>
              <w:rPr>
                <w:rFonts w:ascii="Times New Roman" w:hAnsi="Times New Roman" w:eastAsia="方正仿宋_GBK" w:cs="Times New Roman"/>
                <w:color w:val="auto"/>
                <w:sz w:val="28"/>
                <w:szCs w:val="28"/>
                <w:highlight w:val="none"/>
              </w:rPr>
              <w:t>。</w:t>
            </w:r>
          </w:p>
          <w:p w14:paraId="53759223">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color w:val="auto"/>
                <w:sz w:val="28"/>
                <w:szCs w:val="28"/>
                <w:highlight w:val="none"/>
              </w:rPr>
              <w:t>2.提出</w:t>
            </w:r>
            <w:r>
              <w:rPr>
                <w:rFonts w:hint="eastAsia" w:ascii="Times New Roman" w:hAnsi="Times New Roman" w:eastAsia="方正仿宋_GBK" w:cs="Times New Roman"/>
                <w:color w:val="auto"/>
                <w:sz w:val="28"/>
                <w:szCs w:val="28"/>
                <w:highlight w:val="none"/>
                <w:lang w:val="en-US" w:eastAsia="zh-CN"/>
              </w:rPr>
              <w:t>疑问</w:t>
            </w:r>
            <w:r>
              <w:rPr>
                <w:rFonts w:hint="eastAsia" w:ascii="Times New Roman" w:hAnsi="Times New Roman" w:eastAsia="方正仿宋_GBK" w:cs="Times New Roman"/>
                <w:color w:val="auto"/>
                <w:sz w:val="28"/>
                <w:szCs w:val="28"/>
                <w:highlight w:val="none"/>
                <w:lang w:eastAsia="zh-CN"/>
              </w:rPr>
              <w:t>的</w:t>
            </w:r>
            <w:r>
              <w:rPr>
                <w:rFonts w:hint="eastAsia" w:ascii="Times New Roman" w:hAnsi="Times New Roman" w:eastAsia="方正仿宋_GBK" w:cs="Times New Roman"/>
                <w:color w:val="auto"/>
                <w:sz w:val="28"/>
                <w:szCs w:val="28"/>
                <w:highlight w:val="none"/>
                <w:lang w:val="en-US" w:eastAsia="zh-CN"/>
              </w:rPr>
              <w:t>时间</w:t>
            </w:r>
            <w:r>
              <w:rPr>
                <w:rFonts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2026年4月16日内</w:t>
            </w:r>
          </w:p>
        </w:tc>
      </w:tr>
      <w:tr w14:paraId="23DC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80F1B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2.3</w:t>
            </w:r>
          </w:p>
        </w:tc>
        <w:tc>
          <w:tcPr>
            <w:tcW w:w="1515" w:type="dxa"/>
            <w:tcBorders>
              <w:top w:val="single" w:color="auto" w:sz="4" w:space="0"/>
              <w:left w:val="single" w:color="auto" w:sz="4" w:space="0"/>
              <w:bottom w:val="single" w:color="auto" w:sz="4" w:space="0"/>
              <w:right w:val="single" w:color="auto" w:sz="4" w:space="0"/>
            </w:tcBorders>
            <w:vAlign w:val="center"/>
          </w:tcPr>
          <w:p w14:paraId="07C57B0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14:paraId="3E0E9AC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1.招标人对已发出的招标文件需要进行澄清、修改或对疑问作答的，将在重庆财经学院校园网（http://www.cfec.edu.cn）”上发布。</w:t>
            </w:r>
          </w:p>
          <w:p w14:paraId="5155BF0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2.答疑发布时间：收到书面质疑后7个工作日内。</w:t>
            </w:r>
          </w:p>
          <w:p w14:paraId="53FCC9F7">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自行登录重庆财经学院校园网（http://www.cfec.edu.cn）直接下载澄清、修改或对疑问作答的相关资料。不论投标人下载与否，招标人都视为投标人收到以上资料并全部知晓有关招标过程和事宜，由此产生的一切后果由投标人自负。</w:t>
            </w:r>
          </w:p>
        </w:tc>
      </w:tr>
      <w:tr w14:paraId="41D0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DF5154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w:t>
            </w:r>
          </w:p>
        </w:tc>
        <w:tc>
          <w:tcPr>
            <w:tcW w:w="1515" w:type="dxa"/>
            <w:tcBorders>
              <w:top w:val="single" w:color="auto" w:sz="4" w:space="0"/>
              <w:left w:val="single" w:color="auto" w:sz="4" w:space="0"/>
              <w:bottom w:val="single" w:color="auto" w:sz="4" w:space="0"/>
              <w:right w:val="single" w:color="auto" w:sz="4" w:space="0"/>
            </w:tcBorders>
            <w:vAlign w:val="center"/>
          </w:tcPr>
          <w:p w14:paraId="6E3F19B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05CA6D4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投标文件的组成和内容必须实质性响应招标文件的要求，否则将被拒绝。</w:t>
            </w:r>
          </w:p>
        </w:tc>
      </w:tr>
      <w:tr w14:paraId="6A7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555EFE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3.1.1</w:t>
            </w:r>
          </w:p>
        </w:tc>
        <w:tc>
          <w:tcPr>
            <w:tcW w:w="1515" w:type="dxa"/>
            <w:tcBorders>
              <w:top w:val="single" w:color="auto" w:sz="4" w:space="0"/>
              <w:left w:val="single" w:color="auto" w:sz="4" w:space="0"/>
              <w:bottom w:val="single" w:color="auto" w:sz="4" w:space="0"/>
              <w:right w:val="single" w:color="auto" w:sz="4" w:space="0"/>
            </w:tcBorders>
            <w:vAlign w:val="center"/>
          </w:tcPr>
          <w:p w14:paraId="2CE0AEC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14:paraId="429D136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1.投标文件计量单位：采用国家法定计量单位（标准）；</w:t>
            </w:r>
          </w:p>
          <w:p w14:paraId="1EFE48D6">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2.投标文件的组成必须统一格式（见招标文件第五章内容）</w:t>
            </w:r>
          </w:p>
          <w:p w14:paraId="1C3CFB3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3.投标人的书面澄清、说明和补正（但不得改变投标文件的实质性内容）。</w:t>
            </w:r>
          </w:p>
        </w:tc>
      </w:tr>
      <w:tr w14:paraId="69AD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F047F66">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3.2.1</w:t>
            </w:r>
          </w:p>
        </w:tc>
        <w:tc>
          <w:tcPr>
            <w:tcW w:w="1515" w:type="dxa"/>
            <w:tcBorders>
              <w:top w:val="single" w:color="auto" w:sz="4" w:space="0"/>
              <w:left w:val="single" w:color="auto" w:sz="4" w:space="0"/>
              <w:bottom w:val="single" w:color="auto" w:sz="4" w:space="0"/>
              <w:right w:val="single" w:color="auto" w:sz="4" w:space="0"/>
            </w:tcBorders>
            <w:vAlign w:val="center"/>
          </w:tcPr>
          <w:p w14:paraId="0A98339D">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14:paraId="0C00D36C">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 投标人的投标报价应是本章投标人须知前附表</w:t>
            </w:r>
            <w:r>
              <w:rPr>
                <w:rFonts w:ascii="Times New Roman" w:hAnsi="Times New Roman" w:eastAsia="方正仿宋_GBK" w:cs="Times New Roman"/>
                <w:color w:val="auto"/>
                <w:sz w:val="28"/>
                <w:szCs w:val="28"/>
                <w:highlight w:val="none"/>
              </w:rPr>
              <w:t>1.3.1项中所述的</w:t>
            </w:r>
            <w:r>
              <w:rPr>
                <w:rFonts w:ascii="Times New Roman" w:hAnsi="Times New Roman" w:eastAsia="方正仿宋_GBK" w:cs="Times New Roman"/>
                <w:sz w:val="28"/>
                <w:szCs w:val="28"/>
                <w:highlight w:val="none"/>
              </w:rPr>
              <w:t>全部内容的投标报价，如果有任何遗漏，均被视为投标人已经在其投标总价中考虑。</w:t>
            </w:r>
          </w:p>
          <w:p w14:paraId="445BBC39">
            <w:pPr>
              <w:spacing w:line="400" w:lineRule="exact"/>
              <w:rPr>
                <w:rFonts w:ascii="Times New Roman" w:hAnsi="Times New Roman" w:eastAsia="方正仿宋_GBK" w:cs="Times New Roman"/>
                <w:sz w:val="28"/>
                <w:szCs w:val="28"/>
                <w:highlight w:val="yellow"/>
              </w:rPr>
            </w:pPr>
            <w:r>
              <w:rPr>
                <w:rFonts w:hint="eastAsia" w:ascii="Times New Roman" w:hAnsi="Times New Roman" w:eastAsia="方正仿宋_GBK" w:cs="Times New Roman"/>
                <w:sz w:val="28"/>
                <w:szCs w:val="28"/>
                <w:highlight w:val="none"/>
                <w:lang w:val="en-US" w:eastAsia="zh-CN"/>
              </w:rPr>
              <w:t>投标报价须为人民币报价，包括完成本项目所确定的全部工作内容的包干价。包含：建设费、服务费、数据接口费、调研费、劳务费、安装调试费、质保期内免费升级、培训费、耗材费、加班费、劳动保险费、劳保用品、易耗工具、机械使用费、服务地点内垃圾清运、安全措施费、交通组织费、装卸搬运费、管理费、政策性文件规定及合同包含的所有风险费、利润、税金等履行完本项目的所有费用，采购人不再追加其他费用。</w:t>
            </w:r>
          </w:p>
        </w:tc>
      </w:tr>
      <w:tr w14:paraId="1577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A8EC2F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3.3.1</w:t>
            </w:r>
          </w:p>
        </w:tc>
        <w:tc>
          <w:tcPr>
            <w:tcW w:w="1515" w:type="dxa"/>
            <w:tcBorders>
              <w:top w:val="single" w:color="auto" w:sz="4" w:space="0"/>
              <w:left w:val="single" w:color="auto" w:sz="4" w:space="0"/>
              <w:bottom w:val="single" w:color="auto" w:sz="4" w:space="0"/>
              <w:right w:val="single" w:color="auto" w:sz="4" w:space="0"/>
            </w:tcBorders>
            <w:vAlign w:val="center"/>
          </w:tcPr>
          <w:p w14:paraId="61D9EAC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14:paraId="0010897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90日历天（从递交投标文件截止日起计算）</w:t>
            </w:r>
          </w:p>
        </w:tc>
      </w:tr>
      <w:tr w14:paraId="1330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A1B0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3.4.1</w:t>
            </w:r>
          </w:p>
        </w:tc>
        <w:tc>
          <w:tcPr>
            <w:tcW w:w="1515" w:type="dxa"/>
            <w:tcBorders>
              <w:top w:val="single" w:color="auto" w:sz="4" w:space="0"/>
              <w:left w:val="single" w:color="auto" w:sz="4" w:space="0"/>
              <w:bottom w:val="single" w:color="auto" w:sz="4" w:space="0"/>
              <w:right w:val="single" w:color="auto" w:sz="4" w:space="0"/>
            </w:tcBorders>
            <w:vAlign w:val="center"/>
          </w:tcPr>
          <w:p w14:paraId="2FCC0CC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14:paraId="4A29DA8D">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见招标公告</w:t>
            </w:r>
          </w:p>
        </w:tc>
      </w:tr>
      <w:tr w14:paraId="07E2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B0683D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3.5.1</w:t>
            </w:r>
          </w:p>
        </w:tc>
        <w:tc>
          <w:tcPr>
            <w:tcW w:w="1515" w:type="dxa"/>
            <w:tcBorders>
              <w:top w:val="single" w:color="auto" w:sz="4" w:space="0"/>
              <w:left w:val="single" w:color="auto" w:sz="4" w:space="0"/>
              <w:bottom w:val="single" w:color="auto" w:sz="4" w:space="0"/>
              <w:right w:val="single" w:color="auto" w:sz="4" w:space="0"/>
            </w:tcBorders>
            <w:vAlign w:val="center"/>
          </w:tcPr>
          <w:p w14:paraId="03FCE77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14:paraId="184771B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本须知前附表1.4.1条要求的相关资料复印件（需要加盖公章）即为审查内容；</w:t>
            </w:r>
          </w:p>
        </w:tc>
      </w:tr>
      <w:tr w14:paraId="7018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2CE17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3.6</w:t>
            </w:r>
          </w:p>
        </w:tc>
        <w:tc>
          <w:tcPr>
            <w:tcW w:w="1515" w:type="dxa"/>
            <w:tcBorders>
              <w:top w:val="single" w:color="auto" w:sz="4" w:space="0"/>
              <w:left w:val="single" w:color="auto" w:sz="4" w:space="0"/>
              <w:bottom w:val="single" w:color="auto" w:sz="4" w:space="0"/>
              <w:right w:val="single" w:color="auto" w:sz="4" w:space="0"/>
            </w:tcBorders>
            <w:vAlign w:val="center"/>
          </w:tcPr>
          <w:p w14:paraId="68D13C0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14:paraId="3DF80D04">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不允许</w:t>
            </w:r>
          </w:p>
        </w:tc>
      </w:tr>
      <w:tr w14:paraId="7DAA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9DE112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3.7.3</w:t>
            </w:r>
          </w:p>
        </w:tc>
        <w:tc>
          <w:tcPr>
            <w:tcW w:w="1515" w:type="dxa"/>
            <w:tcBorders>
              <w:top w:val="single" w:color="auto" w:sz="4" w:space="0"/>
              <w:left w:val="single" w:color="auto" w:sz="4" w:space="0"/>
              <w:bottom w:val="single" w:color="auto" w:sz="4" w:space="0"/>
              <w:right w:val="single" w:color="auto" w:sz="4" w:space="0"/>
            </w:tcBorders>
            <w:vAlign w:val="center"/>
          </w:tcPr>
          <w:p w14:paraId="0743D82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14:paraId="50C86713">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1.投标文件格式上要求签字盖章的地方，必须签字盖章；</w:t>
            </w:r>
          </w:p>
          <w:p w14:paraId="3327170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2.所有涉及投标报价、承诺、保证等内容必须签字盖章。</w:t>
            </w:r>
          </w:p>
        </w:tc>
      </w:tr>
      <w:tr w14:paraId="61E1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280F2E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3.7.4</w:t>
            </w:r>
          </w:p>
        </w:tc>
        <w:tc>
          <w:tcPr>
            <w:tcW w:w="1515" w:type="dxa"/>
            <w:tcBorders>
              <w:top w:val="single" w:color="auto" w:sz="4" w:space="0"/>
              <w:left w:val="single" w:color="auto" w:sz="4" w:space="0"/>
              <w:bottom w:val="single" w:color="auto" w:sz="4" w:space="0"/>
              <w:right w:val="single" w:color="auto" w:sz="4" w:space="0"/>
            </w:tcBorders>
            <w:vAlign w:val="center"/>
          </w:tcPr>
          <w:p w14:paraId="27F30E2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14:paraId="3272317B">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正本1份、副本2份</w:t>
            </w:r>
          </w:p>
        </w:tc>
      </w:tr>
      <w:tr w14:paraId="685B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FF88A6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3.7.5</w:t>
            </w:r>
          </w:p>
        </w:tc>
        <w:tc>
          <w:tcPr>
            <w:tcW w:w="1515" w:type="dxa"/>
            <w:tcBorders>
              <w:top w:val="single" w:color="auto" w:sz="4" w:space="0"/>
              <w:left w:val="single" w:color="auto" w:sz="4" w:space="0"/>
              <w:bottom w:val="single" w:color="auto" w:sz="4" w:space="0"/>
              <w:right w:val="single" w:color="auto" w:sz="4" w:space="0"/>
            </w:tcBorders>
            <w:vAlign w:val="center"/>
          </w:tcPr>
          <w:p w14:paraId="4CE248B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14:paraId="200C7045">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1.投标函</w:t>
            </w:r>
          </w:p>
          <w:p w14:paraId="183BCE1A">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2.法定代表人身份证明及授权委托书</w:t>
            </w:r>
          </w:p>
          <w:p w14:paraId="495E766A">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3.投标人基本情况表</w:t>
            </w:r>
          </w:p>
          <w:p w14:paraId="47F19879">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w:t>
            </w:r>
            <w:r>
              <w:rPr>
                <w:rFonts w:hint="eastAsia" w:ascii="Times New Roman" w:hAnsi="Times New Roman" w:eastAsia="方正仿宋_GBK" w:cs="Times New Roman"/>
                <w:sz w:val="28"/>
                <w:szCs w:val="28"/>
                <w:highlight w:val="none"/>
              </w:rPr>
              <w:t>响应文件</w:t>
            </w:r>
          </w:p>
          <w:p w14:paraId="1A733D3D">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5.相关资质证明及承诺</w:t>
            </w:r>
          </w:p>
          <w:p w14:paraId="52011A7C">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6.售后服务</w:t>
            </w:r>
          </w:p>
          <w:p w14:paraId="0F61F246">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7.投标业绩一览表</w:t>
            </w:r>
          </w:p>
          <w:p w14:paraId="3B981822">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8.近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年财务报表（包括资产负债表、利润表和现金流量表）</w:t>
            </w:r>
          </w:p>
          <w:p w14:paraId="53C253DE">
            <w:pPr>
              <w:spacing w:line="400" w:lineRule="exact"/>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9.</w:t>
            </w:r>
            <w:r>
              <w:rPr>
                <w:rFonts w:ascii="Times New Roman" w:hAnsi="Times New Roman" w:eastAsia="方正仿宋_GBK" w:cs="Times New Roman"/>
                <w:sz w:val="28"/>
                <w:szCs w:val="28"/>
                <w:highlight w:val="none"/>
              </w:rPr>
              <w:t>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val="en-US" w:eastAsia="zh-CN"/>
              </w:rPr>
              <w:t>纳税、社保证明</w:t>
            </w:r>
          </w:p>
          <w:p w14:paraId="33B89B36">
            <w:pPr>
              <w:spacing w:line="400" w:lineRule="exact"/>
              <w:jc w:val="lef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10.</w:t>
            </w:r>
            <w:r>
              <w:rPr>
                <w:rFonts w:ascii="Times New Roman" w:hAnsi="Times New Roman" w:eastAsia="方正仿宋_GBK" w:cs="Times New Roman"/>
                <w:sz w:val="28"/>
                <w:szCs w:val="28"/>
                <w:highlight w:val="none"/>
              </w:rPr>
              <w:t>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val="en-US" w:eastAsia="zh-CN"/>
              </w:rPr>
              <w:t>官网诚信证明截图</w:t>
            </w:r>
          </w:p>
          <w:p w14:paraId="54E2ACBD">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11</w:t>
            </w:r>
            <w:r>
              <w:rPr>
                <w:rFonts w:ascii="Times New Roman" w:hAnsi="Times New Roman" w:eastAsia="方正仿宋_GBK" w:cs="Times New Roman"/>
                <w:sz w:val="28"/>
                <w:szCs w:val="28"/>
                <w:highlight w:val="none"/>
              </w:rPr>
              <w:t>.承诺函</w:t>
            </w:r>
          </w:p>
          <w:p w14:paraId="1709A714">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12.投标文件PDF格式的电子档U盘一份</w:t>
            </w:r>
          </w:p>
        </w:tc>
      </w:tr>
      <w:tr w14:paraId="6690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6167D7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4.1.1</w:t>
            </w:r>
          </w:p>
        </w:tc>
        <w:tc>
          <w:tcPr>
            <w:tcW w:w="1515" w:type="dxa"/>
            <w:tcBorders>
              <w:top w:val="single" w:color="auto" w:sz="4" w:space="0"/>
              <w:left w:val="single" w:color="auto" w:sz="4" w:space="0"/>
              <w:bottom w:val="single" w:color="auto" w:sz="4" w:space="0"/>
              <w:right w:val="single" w:color="auto" w:sz="4" w:space="0"/>
            </w:tcBorders>
            <w:vAlign w:val="center"/>
          </w:tcPr>
          <w:p w14:paraId="77D7923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14:paraId="2412633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1.使用投标文件袋</w:t>
            </w:r>
          </w:p>
          <w:p w14:paraId="7073FC4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2.密封并在投标文件袋处加盖投标人单位章，同时投标文件大袋应按本表第4.1.2项的规定写明相应内容。</w:t>
            </w:r>
          </w:p>
          <w:p w14:paraId="2CA239D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3.如果投标文件大袋未按上述规定封装，招标人拒绝接收。</w:t>
            </w:r>
          </w:p>
        </w:tc>
      </w:tr>
      <w:tr w14:paraId="45BC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6EA6E8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4.1.2</w:t>
            </w:r>
          </w:p>
        </w:tc>
        <w:tc>
          <w:tcPr>
            <w:tcW w:w="1515" w:type="dxa"/>
            <w:tcBorders>
              <w:top w:val="single" w:color="auto" w:sz="4" w:space="0"/>
              <w:left w:val="single" w:color="auto" w:sz="4" w:space="0"/>
              <w:bottom w:val="single" w:color="auto" w:sz="4" w:space="0"/>
              <w:right w:val="single" w:color="auto" w:sz="4" w:space="0"/>
            </w:tcBorders>
            <w:vAlign w:val="center"/>
          </w:tcPr>
          <w:p w14:paraId="7A9E41E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14:paraId="2453ECA1">
            <w:pPr>
              <w:spacing w:line="400" w:lineRule="exact"/>
              <w:rPr>
                <w:rFonts w:ascii="Times New Roman" w:hAnsi="Times New Roman" w:eastAsia="方正仿宋_GBK" w:cs="Times New Roman"/>
                <w:b/>
                <w:sz w:val="28"/>
                <w:szCs w:val="28"/>
                <w:highlight w:val="none"/>
              </w:rPr>
            </w:pPr>
            <w:r>
              <w:rPr>
                <w:rFonts w:ascii="Times New Roman" w:hAnsi="Times New Roman" w:eastAsia="方正仿宋_GBK" w:cs="Times New Roman"/>
                <w:sz w:val="28"/>
                <w:szCs w:val="28"/>
                <w:highlight w:val="none"/>
              </w:rPr>
              <w:t>项目名称：</w:t>
            </w:r>
            <w:r>
              <w:rPr>
                <w:rFonts w:hint="eastAsia" w:ascii="Times New Roman" w:hAnsi="Times New Roman" w:eastAsia="方正仿宋_GBK" w:cs="Times New Roman"/>
                <w:sz w:val="28"/>
                <w:szCs w:val="28"/>
                <w:highlight w:val="none"/>
              </w:rPr>
              <w:t>重庆财经学院</w:t>
            </w:r>
            <w:r>
              <w:rPr>
                <w:rFonts w:hint="eastAsia" w:ascii="Times New Roman" w:hAnsi="Times New Roman" w:eastAsia="方正仿宋_GBK" w:cs="Times New Roman"/>
                <w:sz w:val="28"/>
                <w:szCs w:val="28"/>
                <w:highlight w:val="none"/>
                <w:lang w:eastAsia="zh-CN"/>
              </w:rPr>
              <w:t>固定资产管理系统建设采购项目</w:t>
            </w:r>
          </w:p>
          <w:p w14:paraId="42A9939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投标人名称：</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（投标人盖章）</w:t>
            </w:r>
          </w:p>
          <w:p w14:paraId="7E8EC23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投标文件 在开标前不得开启 </w:t>
            </w:r>
          </w:p>
        </w:tc>
      </w:tr>
      <w:tr w14:paraId="29DE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14:paraId="76DA0D3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4.2.1</w:t>
            </w:r>
          </w:p>
        </w:tc>
        <w:tc>
          <w:tcPr>
            <w:tcW w:w="1515" w:type="dxa"/>
            <w:tcBorders>
              <w:top w:val="single" w:color="auto" w:sz="4" w:space="0"/>
              <w:left w:val="single" w:color="auto" w:sz="4" w:space="0"/>
              <w:bottom w:val="single" w:color="auto" w:sz="4" w:space="0"/>
              <w:right w:val="single" w:color="auto" w:sz="4" w:space="0"/>
            </w:tcBorders>
            <w:vAlign w:val="center"/>
          </w:tcPr>
          <w:p w14:paraId="263A79E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投标截止时间</w:t>
            </w:r>
          </w:p>
        </w:tc>
        <w:tc>
          <w:tcPr>
            <w:tcW w:w="6092" w:type="dxa"/>
            <w:tcBorders>
              <w:top w:val="single" w:color="auto" w:sz="4" w:space="0"/>
              <w:left w:val="single" w:color="auto" w:sz="4" w:space="0"/>
              <w:bottom w:val="single" w:color="auto" w:sz="4" w:space="0"/>
              <w:right w:val="single" w:color="auto" w:sz="4" w:space="0"/>
            </w:tcBorders>
            <w:vAlign w:val="center"/>
          </w:tcPr>
          <w:p w14:paraId="2C649613">
            <w:pPr>
              <w:spacing w:line="400" w:lineRule="exact"/>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见招标公告</w:t>
            </w:r>
          </w:p>
        </w:tc>
      </w:tr>
      <w:tr w14:paraId="582F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957795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4.2.2</w:t>
            </w:r>
          </w:p>
        </w:tc>
        <w:tc>
          <w:tcPr>
            <w:tcW w:w="1515" w:type="dxa"/>
            <w:tcBorders>
              <w:top w:val="single" w:color="auto" w:sz="4" w:space="0"/>
              <w:left w:val="single" w:color="auto" w:sz="4" w:space="0"/>
              <w:bottom w:val="single" w:color="auto" w:sz="4" w:space="0"/>
              <w:right w:val="single" w:color="auto" w:sz="4" w:space="0"/>
            </w:tcBorders>
            <w:vAlign w:val="center"/>
          </w:tcPr>
          <w:p w14:paraId="3BD70FF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14:paraId="448C5F41">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见投标时间截止公告</w:t>
            </w:r>
          </w:p>
        </w:tc>
      </w:tr>
      <w:tr w14:paraId="21F4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2AC1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4.2.3</w:t>
            </w:r>
          </w:p>
        </w:tc>
        <w:tc>
          <w:tcPr>
            <w:tcW w:w="1515" w:type="dxa"/>
            <w:tcBorders>
              <w:top w:val="single" w:color="auto" w:sz="4" w:space="0"/>
              <w:left w:val="single" w:color="auto" w:sz="4" w:space="0"/>
              <w:bottom w:val="single" w:color="auto" w:sz="4" w:space="0"/>
              <w:right w:val="single" w:color="auto" w:sz="4" w:space="0"/>
            </w:tcBorders>
            <w:vAlign w:val="center"/>
          </w:tcPr>
          <w:p w14:paraId="12A0463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29B1B83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否</w:t>
            </w:r>
          </w:p>
        </w:tc>
      </w:tr>
      <w:tr w14:paraId="5086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EBAA4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w:t>
            </w:r>
          </w:p>
        </w:tc>
        <w:tc>
          <w:tcPr>
            <w:tcW w:w="1515" w:type="dxa"/>
            <w:tcBorders>
              <w:top w:val="single" w:color="auto" w:sz="4" w:space="0"/>
              <w:left w:val="single" w:color="auto" w:sz="4" w:space="0"/>
              <w:bottom w:val="single" w:color="auto" w:sz="4" w:space="0"/>
              <w:right w:val="single" w:color="auto" w:sz="4" w:space="0"/>
            </w:tcBorders>
            <w:vAlign w:val="center"/>
          </w:tcPr>
          <w:p w14:paraId="69503C4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开标会</w:t>
            </w:r>
          </w:p>
        </w:tc>
        <w:tc>
          <w:tcPr>
            <w:tcW w:w="6092" w:type="dxa"/>
            <w:tcBorders>
              <w:top w:val="single" w:color="auto" w:sz="4" w:space="0"/>
              <w:left w:val="single" w:color="auto" w:sz="4" w:space="0"/>
              <w:bottom w:val="single" w:color="auto" w:sz="4" w:space="0"/>
              <w:right w:val="single" w:color="auto" w:sz="4" w:space="0"/>
            </w:tcBorders>
            <w:vAlign w:val="center"/>
          </w:tcPr>
          <w:p w14:paraId="4626909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开标会由重庆财经学</w:t>
            </w:r>
            <w:r>
              <w:rPr>
                <w:rFonts w:ascii="Times New Roman" w:hAnsi="Times New Roman" w:eastAsia="方正仿宋_GBK" w:cs="Times New Roman"/>
                <w:color w:val="auto"/>
                <w:sz w:val="28"/>
                <w:szCs w:val="28"/>
                <w:highlight w:val="none"/>
              </w:rPr>
              <w:t>院招</w:t>
            </w:r>
            <w:r>
              <w:rPr>
                <w:rFonts w:hint="eastAsia" w:ascii="Times New Roman" w:hAnsi="Times New Roman" w:eastAsia="方正仿宋_GBK" w:cs="Times New Roman"/>
                <w:color w:val="auto"/>
                <w:sz w:val="28"/>
                <w:szCs w:val="28"/>
                <w:highlight w:val="none"/>
                <w:lang w:val="en-US" w:eastAsia="zh-CN"/>
              </w:rPr>
              <w:t>采</w:t>
            </w:r>
            <w:r>
              <w:rPr>
                <w:rFonts w:ascii="Times New Roman" w:hAnsi="Times New Roman" w:eastAsia="方正仿宋_GBK" w:cs="Times New Roman"/>
                <w:color w:val="auto"/>
                <w:sz w:val="28"/>
                <w:szCs w:val="28"/>
                <w:highlight w:val="none"/>
              </w:rPr>
              <w:t>办公室主持</w:t>
            </w:r>
          </w:p>
        </w:tc>
      </w:tr>
      <w:tr w14:paraId="5030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AB11E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5.1</w:t>
            </w:r>
          </w:p>
        </w:tc>
        <w:tc>
          <w:tcPr>
            <w:tcW w:w="1515" w:type="dxa"/>
            <w:tcBorders>
              <w:top w:val="single" w:color="auto" w:sz="4" w:space="0"/>
              <w:left w:val="single" w:color="auto" w:sz="4" w:space="0"/>
              <w:bottom w:val="single" w:color="auto" w:sz="4" w:space="0"/>
              <w:right w:val="single" w:color="auto" w:sz="4" w:space="0"/>
            </w:tcBorders>
            <w:vAlign w:val="center"/>
          </w:tcPr>
          <w:p w14:paraId="57DB70A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14:paraId="187CF841">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开标时间：开标时间</w:t>
            </w:r>
            <w:r>
              <w:rPr>
                <w:rFonts w:hint="eastAsia" w:ascii="Times New Roman" w:hAnsi="Times New Roman" w:eastAsia="方正仿宋_GBK" w:cs="Times New Roman"/>
                <w:sz w:val="28"/>
                <w:szCs w:val="28"/>
                <w:highlight w:val="none"/>
                <w:lang w:val="en-US" w:eastAsia="zh-CN"/>
              </w:rPr>
              <w:t>另行</w:t>
            </w:r>
            <w:r>
              <w:rPr>
                <w:rFonts w:hint="eastAsia" w:ascii="Times New Roman" w:hAnsi="Times New Roman" w:eastAsia="方正仿宋_GBK" w:cs="Times New Roman"/>
                <w:sz w:val="28"/>
                <w:szCs w:val="28"/>
                <w:highlight w:val="none"/>
              </w:rPr>
              <w:t>通知。</w:t>
            </w:r>
          </w:p>
          <w:p w14:paraId="0D4CA3B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开标地点：重庆财经学院</w:t>
            </w:r>
          </w:p>
        </w:tc>
      </w:tr>
      <w:tr w14:paraId="4C57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EF0021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w:t>
            </w:r>
          </w:p>
        </w:tc>
        <w:tc>
          <w:tcPr>
            <w:tcW w:w="1515" w:type="dxa"/>
            <w:tcBorders>
              <w:top w:val="single" w:color="auto" w:sz="4" w:space="0"/>
              <w:left w:val="single" w:color="auto" w:sz="4" w:space="0"/>
              <w:bottom w:val="single" w:color="auto" w:sz="4" w:space="0"/>
              <w:right w:val="single" w:color="auto" w:sz="4" w:space="0"/>
            </w:tcBorders>
            <w:vAlign w:val="center"/>
          </w:tcPr>
          <w:p w14:paraId="088E190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评标</w:t>
            </w:r>
          </w:p>
        </w:tc>
        <w:tc>
          <w:tcPr>
            <w:tcW w:w="6092" w:type="dxa"/>
            <w:tcBorders>
              <w:top w:val="single" w:color="auto" w:sz="4" w:space="0"/>
              <w:left w:val="single" w:color="auto" w:sz="4" w:space="0"/>
              <w:bottom w:val="single" w:color="auto" w:sz="4" w:space="0"/>
              <w:right w:val="single" w:color="auto" w:sz="4" w:space="0"/>
            </w:tcBorders>
            <w:vAlign w:val="center"/>
          </w:tcPr>
          <w:p w14:paraId="4E63238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本项目评标委员会按照本次招标文件要求进行评标</w:t>
            </w:r>
          </w:p>
        </w:tc>
      </w:tr>
      <w:tr w14:paraId="7452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0AEFC3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6.1</w:t>
            </w:r>
          </w:p>
        </w:tc>
        <w:tc>
          <w:tcPr>
            <w:tcW w:w="1515" w:type="dxa"/>
            <w:tcBorders>
              <w:top w:val="single" w:color="auto" w:sz="4" w:space="0"/>
              <w:left w:val="single" w:color="auto" w:sz="4" w:space="0"/>
              <w:bottom w:val="single" w:color="auto" w:sz="4" w:space="0"/>
              <w:right w:val="single" w:color="auto" w:sz="4" w:space="0"/>
            </w:tcBorders>
            <w:vAlign w:val="center"/>
          </w:tcPr>
          <w:p w14:paraId="640EA13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14:paraId="204AE57D">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由招标人根据重庆财经学院</w:t>
            </w:r>
            <w:r>
              <w:rPr>
                <w:rFonts w:hint="eastAsia" w:ascii="Times New Roman" w:hAnsi="Times New Roman" w:eastAsia="方正仿宋_GBK" w:cs="Times New Roman"/>
                <w:color w:val="auto"/>
                <w:sz w:val="28"/>
                <w:szCs w:val="28"/>
                <w:highlight w:val="none"/>
                <w:lang w:val="en-US" w:eastAsia="zh-CN"/>
              </w:rPr>
              <w:t>招采</w:t>
            </w:r>
            <w:r>
              <w:rPr>
                <w:rFonts w:ascii="Times New Roman" w:hAnsi="Times New Roman" w:eastAsia="方正仿宋_GBK" w:cs="Times New Roman"/>
                <w:color w:val="auto"/>
                <w:sz w:val="28"/>
                <w:szCs w:val="28"/>
                <w:highlight w:val="none"/>
              </w:rPr>
              <w:t>管理办法组建</w:t>
            </w:r>
          </w:p>
        </w:tc>
      </w:tr>
      <w:tr w14:paraId="64E5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519879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7.1</w:t>
            </w:r>
          </w:p>
        </w:tc>
        <w:tc>
          <w:tcPr>
            <w:tcW w:w="1515" w:type="dxa"/>
            <w:tcBorders>
              <w:top w:val="single" w:color="auto" w:sz="4" w:space="0"/>
              <w:left w:val="single" w:color="auto" w:sz="4" w:space="0"/>
              <w:bottom w:val="single" w:color="auto" w:sz="4" w:space="0"/>
              <w:right w:val="single" w:color="auto" w:sz="4" w:space="0"/>
            </w:tcBorders>
            <w:vAlign w:val="center"/>
          </w:tcPr>
          <w:p w14:paraId="5F74194D">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14:paraId="03FB9091">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否，评标委员会按照由高到低的顺序依次推荐1～3名为中标候选人。</w:t>
            </w:r>
          </w:p>
        </w:tc>
      </w:tr>
      <w:tr w14:paraId="4E4C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ED9178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8.1</w:t>
            </w:r>
          </w:p>
        </w:tc>
        <w:tc>
          <w:tcPr>
            <w:tcW w:w="1515" w:type="dxa"/>
            <w:tcBorders>
              <w:top w:val="single" w:color="auto" w:sz="4" w:space="0"/>
              <w:left w:val="single" w:color="auto" w:sz="4" w:space="0"/>
              <w:bottom w:val="single" w:color="auto" w:sz="4" w:space="0"/>
              <w:right w:val="single" w:color="auto" w:sz="4" w:space="0"/>
            </w:tcBorders>
            <w:vAlign w:val="center"/>
          </w:tcPr>
          <w:p w14:paraId="496867F0">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重新招标</w:t>
            </w:r>
            <w:r>
              <w:rPr>
                <w:rFonts w:ascii="Times New Roman" w:hAnsi="Times New Roman" w:eastAsia="方正仿宋_GBK" w:cs="Times New Roman"/>
                <w:color w:val="auto"/>
                <w:sz w:val="28"/>
                <w:szCs w:val="28"/>
                <w:highlight w:val="none"/>
                <w:lang w:val="zh-CN"/>
              </w:rPr>
              <w:t>和不再招标</w:t>
            </w:r>
          </w:p>
        </w:tc>
        <w:tc>
          <w:tcPr>
            <w:tcW w:w="6092" w:type="dxa"/>
            <w:tcBorders>
              <w:top w:val="single" w:color="auto" w:sz="4" w:space="0"/>
              <w:left w:val="single" w:color="auto" w:sz="4" w:space="0"/>
              <w:bottom w:val="single" w:color="auto" w:sz="4" w:space="0"/>
              <w:right w:val="single" w:color="auto" w:sz="4" w:space="0"/>
            </w:tcBorders>
            <w:vAlign w:val="center"/>
          </w:tcPr>
          <w:p w14:paraId="635ED576">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b/>
                <w:bCs/>
                <w:color w:val="auto"/>
                <w:sz w:val="28"/>
                <w:szCs w:val="28"/>
                <w:highlight w:val="none"/>
                <w:lang w:val="en-US" w:eastAsia="zh-CN"/>
              </w:rPr>
              <w:t>重新招标：</w:t>
            </w:r>
            <w:r>
              <w:rPr>
                <w:rFonts w:hint="eastAsia" w:ascii="Times New Roman" w:hAnsi="Times New Roman" w:eastAsia="方正仿宋_GBK" w:cs="Times New Roman"/>
                <w:color w:val="auto"/>
                <w:sz w:val="28"/>
                <w:szCs w:val="28"/>
                <w:highlight w:val="none"/>
                <w:lang w:val="en-US" w:eastAsia="zh-CN"/>
              </w:rPr>
              <w:t>（1）投标截止时间止，投标人少于三个的；（2）评标后合格的投标人少于三个的。</w:t>
            </w:r>
          </w:p>
          <w:p w14:paraId="4DE466E9">
            <w:pPr>
              <w:spacing w:line="400" w:lineRule="exac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b/>
                <w:bCs/>
                <w:color w:val="auto"/>
                <w:sz w:val="28"/>
                <w:szCs w:val="28"/>
                <w:highlight w:val="none"/>
                <w:lang w:val="en-US" w:eastAsia="zh-CN"/>
              </w:rPr>
              <w:t>不再招标：</w:t>
            </w:r>
            <w:r>
              <w:rPr>
                <w:rFonts w:hint="eastAsia" w:ascii="Times New Roman" w:hAnsi="Times New Roman" w:eastAsia="方正仿宋_GBK" w:cs="Times New Roman"/>
                <w:color w:val="auto"/>
                <w:sz w:val="28"/>
                <w:szCs w:val="28"/>
                <w:highlight w:val="none"/>
                <w:lang w:val="en-US" w:eastAsia="zh-CN"/>
              </w:rPr>
              <w:t>若调整采购需求重新招标仍然失败的，可以采用竞争性谈判或单一来源的方式执行本项目。</w:t>
            </w:r>
          </w:p>
        </w:tc>
      </w:tr>
      <w:tr w14:paraId="73C0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242671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7879CD25">
            <w:pPr>
              <w:adjustRightInd w:val="0"/>
              <w:spacing w:line="400" w:lineRule="exact"/>
              <w:ind w:left="480"/>
              <w:jc w:val="center"/>
              <w:rPr>
                <w:rFonts w:ascii="Times New Roman" w:hAnsi="Times New Roman" w:eastAsia="方正仿宋_GBK" w:cs="Times New Roman"/>
                <w:b/>
                <w:color w:val="auto"/>
                <w:sz w:val="28"/>
                <w:szCs w:val="28"/>
                <w:highlight w:val="none"/>
              </w:rPr>
            </w:pPr>
            <w:r>
              <w:rPr>
                <w:rFonts w:ascii="Times New Roman" w:hAnsi="Times New Roman" w:eastAsia="方正仿宋_GBK" w:cs="Times New Roman"/>
                <w:color w:val="auto"/>
                <w:sz w:val="28"/>
                <w:szCs w:val="28"/>
                <w:highlight w:val="none"/>
              </w:rPr>
              <w:t>补充内容</w:t>
            </w:r>
          </w:p>
        </w:tc>
      </w:tr>
      <w:tr w14:paraId="2807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88A7F2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110C6EEE">
            <w:pPr>
              <w:keepNext w:val="0"/>
              <w:keepLines w:val="0"/>
              <w:pageBreakBefore w:val="0"/>
              <w:widowControl w:val="0"/>
              <w:numPr>
                <w:ilvl w:val="0"/>
                <w:numId w:val="10"/>
              </w:numPr>
              <w:kinsoku/>
              <w:wordWrap/>
              <w:overflowPunct/>
              <w:topLinePunct w:val="0"/>
              <w:autoSpaceDE/>
              <w:autoSpaceDN/>
              <w:bidi w:val="0"/>
              <w:adjustRightInd/>
              <w:snapToGrid/>
              <w:spacing w:line="380" w:lineRule="exact"/>
              <w:ind w:firstLine="560" w:firstLineChars="200"/>
              <w:textAlignment w:val="auto"/>
              <w:rPr>
                <w:rFonts w:hint="eastAsia"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投标人收到中标通知</w:t>
            </w:r>
            <w:r>
              <w:rPr>
                <w:rFonts w:hint="eastAsia" w:ascii="Times New Roman" w:hAnsi="Times New Roman" w:eastAsia="方正仿宋_GBK" w:cs="Times New Roman"/>
                <w:sz w:val="28"/>
                <w:szCs w:val="28"/>
                <w:highlight w:val="none"/>
                <w:lang w:val="en-US" w:eastAsia="zh-CN"/>
              </w:rPr>
              <w:t>书</w:t>
            </w:r>
            <w:r>
              <w:rPr>
                <w:rFonts w:ascii="Times New Roman" w:hAnsi="Times New Roman" w:eastAsia="方正仿宋_GBK" w:cs="Times New Roman"/>
                <w:sz w:val="28"/>
                <w:szCs w:val="28"/>
                <w:highlight w:val="none"/>
              </w:rPr>
              <w:t>3天后，</w:t>
            </w:r>
            <w:r>
              <w:rPr>
                <w:rFonts w:hint="eastAsia" w:ascii="Times New Roman" w:hAnsi="Times New Roman" w:eastAsia="方正仿宋_GBK" w:cs="Times New Roman"/>
                <w:sz w:val="28"/>
                <w:szCs w:val="28"/>
                <w:highlight w:val="none"/>
                <w:lang w:val="en-US" w:eastAsia="zh-CN"/>
              </w:rPr>
              <w:t>投标保证金自动转为履约保证金，履约保证金按合同金额的10%收取，多退少补（无息）。</w:t>
            </w:r>
          </w:p>
          <w:p w14:paraId="5B63472B">
            <w:pPr>
              <w:keepNext w:val="0"/>
              <w:keepLines w:val="0"/>
              <w:pageBreakBefore w:val="0"/>
              <w:widowControl w:val="0"/>
              <w:numPr>
                <w:ilvl w:val="0"/>
                <w:numId w:val="10"/>
              </w:numPr>
              <w:kinsoku/>
              <w:wordWrap/>
              <w:overflowPunct/>
              <w:topLinePunct w:val="0"/>
              <w:autoSpaceDE/>
              <w:autoSpaceDN/>
              <w:bidi w:val="0"/>
              <w:adjustRightInd/>
              <w:snapToGrid/>
              <w:spacing w:line="380" w:lineRule="exact"/>
              <w:ind w:left="0" w:leftChars="0" w:firstLine="560" w:firstLineChars="200"/>
              <w:textAlignment w:val="auto"/>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本项目需</w:t>
            </w:r>
            <w:bookmarkStart w:id="227" w:name="_GoBack"/>
            <w:bookmarkEnd w:id="227"/>
            <w:r>
              <w:rPr>
                <w:rFonts w:hint="eastAsia" w:ascii="Times New Roman" w:hAnsi="Times New Roman" w:eastAsia="方正仿宋_GBK" w:cs="Times New Roman"/>
                <w:sz w:val="28"/>
                <w:szCs w:val="28"/>
                <w:highlight w:val="none"/>
                <w:lang w:val="en-US" w:eastAsia="zh-CN"/>
              </w:rPr>
              <w:t>要缴纳</w:t>
            </w:r>
            <w:r>
              <w:rPr>
                <w:rFonts w:hint="eastAsia" w:ascii="Times New Roman" w:hAnsi="Times New Roman" w:eastAsia="方正仿宋_GBK" w:cs="Times New Roman"/>
                <w:color w:val="auto"/>
                <w:sz w:val="32"/>
                <w:szCs w:val="32"/>
                <w:highlight w:val="none"/>
                <w:lang w:val="en-US" w:eastAsia="zh-CN"/>
              </w:rPr>
              <w:t>质量保证金，中标人应以转账的形式提供人民币</w:t>
            </w:r>
            <w:r>
              <w:rPr>
                <w:rFonts w:hint="eastAsia" w:ascii="Times New Roman" w:hAnsi="Times New Roman" w:eastAsia="方正仿宋_GBK" w:cs="Times New Roman"/>
                <w:color w:val="auto"/>
                <w:sz w:val="28"/>
                <w:szCs w:val="28"/>
                <w:highlight w:val="none"/>
                <w:u w:val="single"/>
                <w:lang w:val="en-US" w:eastAsia="zh-CN"/>
              </w:rPr>
              <w:t>10000元</w:t>
            </w:r>
            <w:r>
              <w:rPr>
                <w:rFonts w:hint="eastAsia" w:ascii="Times New Roman" w:hAnsi="Times New Roman" w:eastAsia="方正仿宋_GBK" w:cs="Times New Roman"/>
                <w:color w:val="auto"/>
                <w:sz w:val="28"/>
                <w:szCs w:val="28"/>
                <w:highlight w:val="none"/>
                <w:lang w:val="en-US" w:eastAsia="zh-CN"/>
              </w:rPr>
              <w:t>（大写壹万元</w:t>
            </w:r>
            <w:r>
              <w:rPr>
                <w:rFonts w:hint="eastAsia" w:ascii="Times New Roman" w:hAnsi="Times New Roman" w:eastAsia="方正仿宋_GBK" w:cs="Times New Roman"/>
                <w:color w:val="auto"/>
                <w:sz w:val="32"/>
                <w:szCs w:val="32"/>
                <w:highlight w:val="none"/>
                <w:lang w:val="en-US" w:eastAsia="zh-CN"/>
              </w:rPr>
              <w:t>）的质量保证金。</w:t>
            </w:r>
          </w:p>
        </w:tc>
      </w:tr>
      <w:tr w14:paraId="1E6C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D2C93F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235A0F5">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本项目从签订合同起，中标方应按照招标方的要求将所提供的</w:t>
            </w:r>
            <w:r>
              <w:rPr>
                <w:rFonts w:hint="eastAsia" w:ascii="Times New Roman" w:hAnsi="Times New Roman" w:eastAsia="方正仿宋_GBK" w:cs="Times New Roman"/>
                <w:sz w:val="28"/>
                <w:szCs w:val="28"/>
                <w:highlight w:val="none"/>
                <w:lang w:val="en-US" w:eastAsia="zh-CN"/>
              </w:rPr>
              <w:t>产品</w:t>
            </w:r>
            <w:r>
              <w:rPr>
                <w:rFonts w:ascii="Times New Roman" w:hAnsi="Times New Roman" w:eastAsia="方正仿宋_GBK" w:cs="Times New Roman"/>
                <w:sz w:val="28"/>
                <w:szCs w:val="28"/>
                <w:highlight w:val="none"/>
              </w:rPr>
              <w:t>安装到指定地点</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并完成调试和培训工作</w:t>
            </w:r>
            <w:r>
              <w:rPr>
                <w:rFonts w:ascii="Times New Roman" w:hAnsi="Times New Roman" w:eastAsia="方正仿宋_GBK" w:cs="Times New Roman"/>
                <w:sz w:val="28"/>
                <w:szCs w:val="28"/>
                <w:highlight w:val="none"/>
              </w:rPr>
              <w:t>。若规定时间内中标方未能完成本项目，招标人有权不退还履约保证金并追究中标方的责任。</w:t>
            </w:r>
          </w:p>
        </w:tc>
      </w:tr>
      <w:tr w14:paraId="3A41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5" w:type="dxa"/>
            <w:tcBorders>
              <w:top w:val="single" w:color="auto" w:sz="4" w:space="0"/>
              <w:left w:val="single" w:color="auto" w:sz="4" w:space="0"/>
              <w:bottom w:val="single" w:color="auto" w:sz="4" w:space="0"/>
              <w:right w:val="single" w:color="auto" w:sz="4" w:space="0"/>
            </w:tcBorders>
            <w:vAlign w:val="center"/>
          </w:tcPr>
          <w:p w14:paraId="495930B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CA42F3F">
            <w:pPr>
              <w:shd w:val="clear"/>
              <w:adjustRightInd w:val="0"/>
              <w:spacing w:line="400" w:lineRule="exact"/>
              <w:jc w:val="left"/>
              <w:textAlignment w:val="baseline"/>
              <w:rPr>
                <w:rFonts w:hint="eastAsia" w:ascii="Times New Roman" w:hAnsi="Times New Roman" w:eastAsia="方正仿宋_GBK" w:cs="Times New Roman"/>
                <w:b w:val="0"/>
                <w:bCs/>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付款条件：</w:t>
            </w:r>
            <w:r>
              <w:rPr>
                <w:rFonts w:hint="eastAsia" w:ascii="Times New Roman" w:hAnsi="Times New Roman" w:eastAsia="方正仿宋_GBK" w:cs="Times New Roman"/>
                <w:b w:val="0"/>
                <w:bCs/>
                <w:color w:val="auto"/>
                <w:sz w:val="28"/>
                <w:szCs w:val="28"/>
                <w:highlight w:val="none"/>
                <w:lang w:val="en-US" w:eastAsia="zh-CN"/>
              </w:rPr>
              <w:t>按合同要求所有软件（如有设备）安装、调试、培训完成后，根据付款方式规定的时间节点和验收要求，验收合格并履行完验收手续后，在支付第一笔合同款时，甲方通知乙方开具全额正规税务发票并同时提供汇款单位名称、帐号、开户行等。</w:t>
            </w:r>
          </w:p>
          <w:p w14:paraId="67250233">
            <w:pPr>
              <w:shd w:val="clear"/>
              <w:adjustRightInd w:val="0"/>
              <w:spacing w:line="400" w:lineRule="exact"/>
              <w:jc w:val="left"/>
              <w:textAlignment w:val="baseline"/>
              <w:rPr>
                <w:rFonts w:ascii="Times New Roman" w:hAnsi="Times New Roman" w:eastAsia="方正仿宋_GBK" w:cs="Times New Roman"/>
                <w:b/>
                <w:bCs w:val="0"/>
                <w:color w:val="auto"/>
                <w:sz w:val="28"/>
                <w:szCs w:val="28"/>
                <w:highlight w:val="none"/>
              </w:rPr>
            </w:pPr>
            <w:r>
              <w:rPr>
                <w:rFonts w:hint="eastAsia" w:ascii="Times New Roman" w:hAnsi="Times New Roman" w:eastAsia="方正仿宋_GBK" w:cs="Times New Roman"/>
                <w:b/>
                <w:bCs w:val="0"/>
                <w:color w:val="auto"/>
                <w:sz w:val="28"/>
                <w:szCs w:val="28"/>
                <w:highlight w:val="none"/>
                <w:lang w:val="en-US" w:eastAsia="zh-CN"/>
              </w:rPr>
              <w:t>付款方式（最终以合同为准）</w:t>
            </w:r>
            <w:r>
              <w:rPr>
                <w:rFonts w:ascii="Times New Roman" w:hAnsi="Times New Roman" w:eastAsia="方正仿宋_GBK" w:cs="Times New Roman"/>
                <w:b/>
                <w:bCs w:val="0"/>
                <w:color w:val="auto"/>
                <w:sz w:val="28"/>
                <w:szCs w:val="28"/>
                <w:highlight w:val="none"/>
              </w:rPr>
              <w:t>：</w:t>
            </w:r>
          </w:p>
          <w:p w14:paraId="26059C0C">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1.合同签订生效后 10 日内支付合同金额的 30%；</w:t>
            </w:r>
          </w:p>
          <w:p w14:paraId="01F77424">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2.系统安装调试正常，试运行1个月，招标方组织验收，验收合格后次月的30日内支付30%合同款；</w:t>
            </w:r>
          </w:p>
          <w:p w14:paraId="1036621D">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3.首次付款1年后支付合同金额的40%；</w:t>
            </w:r>
          </w:p>
          <w:p w14:paraId="7A0F49CA">
            <w:pPr>
              <w:shd w:val="clear"/>
              <w:adjustRightInd w:val="0"/>
              <w:spacing w:line="400" w:lineRule="exact"/>
              <w:jc w:val="left"/>
              <w:textAlignment w:val="baseline"/>
              <w:rPr>
                <w:rFonts w:hint="default" w:ascii="Times New Roman" w:hAnsi="Times New Roman" w:eastAsia="方正仿宋_GBK" w:cs="方正仿宋_GBK"/>
                <w:b w:val="0"/>
                <w:bCs w:val="0"/>
                <w:sz w:val="32"/>
                <w:szCs w:val="32"/>
                <w:lang w:val="en-US" w:eastAsia="zh-CN"/>
              </w:rPr>
            </w:pPr>
            <w:r>
              <w:rPr>
                <w:rFonts w:hint="eastAsia" w:ascii="Times New Roman" w:hAnsi="Times New Roman" w:eastAsia="方正仿宋_GBK" w:cs="Times New Roman"/>
                <w:b/>
                <w:bCs w:val="0"/>
                <w:color w:val="auto"/>
                <w:sz w:val="28"/>
                <w:szCs w:val="28"/>
                <w:highlight w:val="none"/>
                <w:lang w:val="en-US" w:eastAsia="zh-CN"/>
              </w:rPr>
              <w:t>4.质保金在质保期满后，期间无任何问题，中标方提供相应材料一个月内无息退还全部质保金，如产生违约责任则须扣除相应费用。</w:t>
            </w:r>
          </w:p>
        </w:tc>
      </w:tr>
    </w:tbl>
    <w:p w14:paraId="7792B14A">
      <w:pPr>
        <w:rPr>
          <w:rFonts w:ascii="Times New Roman" w:hAnsi="Times New Roman" w:eastAsia="方正楷体_GBK" w:cs="Times New Roman"/>
          <w:b/>
          <w:w w:val="99"/>
          <w:kern w:val="0"/>
          <w:sz w:val="32"/>
          <w:szCs w:val="32"/>
          <w:highlight w:val="none"/>
          <w:lang w:val="zh-CN"/>
        </w:rPr>
      </w:pPr>
      <w:r>
        <w:rPr>
          <w:rFonts w:ascii="Times New Roman" w:hAnsi="Times New Roman" w:eastAsia="方正楷体_GBK" w:cs="Times New Roman"/>
          <w:b/>
          <w:w w:val="99"/>
          <w:kern w:val="0"/>
          <w:sz w:val="32"/>
          <w:szCs w:val="32"/>
          <w:highlight w:val="none"/>
          <w:lang w:val="zh-CN"/>
        </w:rPr>
        <w:br w:type="page"/>
      </w:r>
    </w:p>
    <w:p w14:paraId="51A85AA5">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r>
        <w:rPr>
          <w:rFonts w:ascii="Times New Roman" w:hAnsi="Times New Roman" w:eastAsia="方正楷体_GBK" w:cs="Times New Roman"/>
          <w:b/>
          <w:w w:val="99"/>
          <w:kern w:val="0"/>
          <w:sz w:val="21"/>
          <w:szCs w:val="21"/>
          <w:highlight w:val="none"/>
          <w:lang w:val="zh-CN"/>
        </w:rPr>
        <w:t>1</w:t>
      </w:r>
      <w:r>
        <w:rPr>
          <w:rFonts w:ascii="Times New Roman" w:hAnsi="Times New Roman" w:eastAsia="方正楷体_GBK" w:cs="Times New Roman"/>
          <w:b/>
          <w:w w:val="99"/>
          <w:kern w:val="0"/>
          <w:sz w:val="21"/>
          <w:szCs w:val="21"/>
          <w:highlight w:val="none"/>
        </w:rPr>
        <w:t>.</w:t>
      </w:r>
      <w:r>
        <w:rPr>
          <w:rFonts w:ascii="Times New Roman" w:hAnsi="Times New Roman" w:eastAsia="方正楷体_GBK" w:cs="Times New Roman"/>
          <w:b/>
          <w:w w:val="99"/>
          <w:kern w:val="0"/>
          <w:sz w:val="21"/>
          <w:szCs w:val="21"/>
          <w:highlight w:val="none"/>
          <w:lang w:val="zh-CN"/>
        </w:rPr>
        <w:t>总则</w:t>
      </w:r>
    </w:p>
    <w:p w14:paraId="42AA420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6" w:name="_Toc334774165"/>
      <w:bookmarkStart w:id="7" w:name="_Toc531594736"/>
      <w:bookmarkStart w:id="8" w:name="_Toc12010"/>
      <w:r>
        <w:rPr>
          <w:rFonts w:ascii="Times New Roman" w:hAnsi="Times New Roman" w:eastAsia="方正仿宋_GBK" w:cs="Times New Roman"/>
          <w:b/>
          <w:kern w:val="0"/>
          <w:sz w:val="21"/>
          <w:szCs w:val="21"/>
          <w:highlight w:val="none"/>
        </w:rPr>
        <w:t>1.1 项目概况</w:t>
      </w:r>
      <w:bookmarkEnd w:id="6"/>
      <w:bookmarkEnd w:id="7"/>
      <w:bookmarkEnd w:id="8"/>
    </w:p>
    <w:p w14:paraId="18B421C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1.1.1 根据《中华人民共和国招标投标法》等有关法律、法规和规章的规定，对本项目货物采购及服务进行公开招标。</w:t>
      </w:r>
    </w:p>
    <w:p w14:paraId="5181505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1.1.2 本招标项目名称、项目地点：见投标人需知前附表。</w:t>
      </w:r>
    </w:p>
    <w:p w14:paraId="68F52E5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1.1.3 招标人名称、地址、联系方式：见投标人需知前附表。</w:t>
      </w:r>
    </w:p>
    <w:p w14:paraId="2100AE8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9" w:name="_Toc325636582"/>
      <w:bookmarkStart w:id="10" w:name="_Toc317863424"/>
      <w:bookmarkStart w:id="11" w:name="_Toc200513128"/>
      <w:bookmarkStart w:id="12" w:name="_Toc31904"/>
      <w:bookmarkStart w:id="13" w:name="_Toc531594737"/>
      <w:bookmarkStart w:id="14" w:name="_Toc334774166"/>
      <w:r>
        <w:rPr>
          <w:rFonts w:ascii="Times New Roman" w:hAnsi="Times New Roman" w:eastAsia="方正仿宋_GBK" w:cs="Times New Roman"/>
          <w:b/>
          <w:kern w:val="0"/>
          <w:sz w:val="21"/>
          <w:szCs w:val="21"/>
          <w:highlight w:val="none"/>
        </w:rPr>
        <w:t xml:space="preserve">1.2 </w:t>
      </w:r>
      <w:bookmarkEnd w:id="9"/>
      <w:bookmarkEnd w:id="10"/>
      <w:bookmarkEnd w:id="11"/>
      <w:r>
        <w:rPr>
          <w:rFonts w:ascii="Times New Roman" w:hAnsi="Times New Roman" w:eastAsia="方正仿宋_GBK" w:cs="Times New Roman"/>
          <w:b/>
          <w:kern w:val="0"/>
          <w:sz w:val="21"/>
          <w:szCs w:val="21"/>
          <w:highlight w:val="none"/>
        </w:rPr>
        <w:t>资金来源和落实情况</w:t>
      </w:r>
      <w:bookmarkEnd w:id="12"/>
      <w:bookmarkEnd w:id="13"/>
      <w:bookmarkEnd w:id="14"/>
    </w:p>
    <w:p w14:paraId="32345DD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1.2.1 本招标项目的资金来源：见投标人需知前附表。</w:t>
      </w:r>
    </w:p>
    <w:p w14:paraId="1E00D10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1.2.2 本招标项目的资金落实情况：见投标人需知前附表。</w:t>
      </w:r>
    </w:p>
    <w:p w14:paraId="2060D8A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5" w:name="_Toc200513129"/>
      <w:bookmarkStart w:id="16" w:name="_Toc317863425"/>
      <w:bookmarkStart w:id="17" w:name="_Toc334774167"/>
      <w:bookmarkStart w:id="18" w:name="_Toc531594738"/>
      <w:bookmarkStart w:id="19" w:name="_Toc21275"/>
      <w:bookmarkStart w:id="20" w:name="_Toc325636583"/>
      <w:r>
        <w:rPr>
          <w:rFonts w:ascii="Times New Roman" w:hAnsi="Times New Roman" w:eastAsia="方正仿宋_GBK" w:cs="Times New Roman"/>
          <w:b/>
          <w:kern w:val="0"/>
          <w:sz w:val="21"/>
          <w:szCs w:val="21"/>
          <w:highlight w:val="none"/>
        </w:rPr>
        <w:t>1.3 招标</w:t>
      </w:r>
      <w:bookmarkEnd w:id="15"/>
      <w:bookmarkEnd w:id="16"/>
      <w:r>
        <w:rPr>
          <w:rFonts w:ascii="Times New Roman" w:hAnsi="Times New Roman" w:eastAsia="方正仿宋_GBK" w:cs="Times New Roman"/>
          <w:b/>
          <w:kern w:val="0"/>
          <w:sz w:val="21"/>
          <w:szCs w:val="21"/>
          <w:highlight w:val="none"/>
        </w:rPr>
        <w:t>内容</w:t>
      </w:r>
      <w:bookmarkEnd w:id="17"/>
      <w:bookmarkEnd w:id="18"/>
      <w:bookmarkEnd w:id="19"/>
      <w:bookmarkEnd w:id="20"/>
    </w:p>
    <w:p w14:paraId="3E64855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1.3.1 本次招标范围：见投标人需知前附表。</w:t>
      </w:r>
    </w:p>
    <w:p w14:paraId="315B379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1.3.2 交货方式、交货时间：见投标人需知前附表。</w:t>
      </w:r>
    </w:p>
    <w:p w14:paraId="136F5F9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1.3.3 伴随服务要求：见投标人需知前附表。</w:t>
      </w:r>
    </w:p>
    <w:p w14:paraId="32B1DF6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1.3.4 质量保证期：见投标人需知前附表。</w:t>
      </w:r>
    </w:p>
    <w:p w14:paraId="6CD3F57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1.3.5 质量要求：见投标人需知前附表。</w:t>
      </w:r>
    </w:p>
    <w:p w14:paraId="1A7DA76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1.3.6 售后服务：见投标人需知前附表。</w:t>
      </w:r>
    </w:p>
    <w:p w14:paraId="618C294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1.3.7 项目验收：见投标人需知前附表。</w:t>
      </w:r>
    </w:p>
    <w:p w14:paraId="59197E1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b/>
          <w:bCs/>
          <w:color w:val="auto"/>
          <w:kern w:val="0"/>
          <w:sz w:val="21"/>
          <w:szCs w:val="21"/>
          <w:highlight w:val="none"/>
          <w:lang w:val="en-US" w:eastAsia="zh-CN"/>
        </w:rPr>
      </w:pPr>
      <w:bookmarkStart w:id="21" w:name="_Toc325636584"/>
      <w:bookmarkStart w:id="22" w:name="_Toc334774168"/>
      <w:bookmarkStart w:id="23" w:name="_Toc8901"/>
      <w:bookmarkStart w:id="24" w:name="_Toc531594739"/>
      <w:r>
        <w:rPr>
          <w:rFonts w:hint="eastAsia" w:ascii="Times New Roman" w:hAnsi="Times New Roman" w:eastAsia="方正仿宋_GBK" w:cs="Times New Roman"/>
          <w:b/>
          <w:bCs/>
          <w:color w:val="auto"/>
          <w:kern w:val="0"/>
          <w:sz w:val="21"/>
          <w:szCs w:val="21"/>
          <w:highlight w:val="none"/>
          <w:lang w:val="en-US" w:eastAsia="zh-CN"/>
        </w:rPr>
        <w:t>1.4 投标人资格要求</w:t>
      </w:r>
      <w:bookmarkEnd w:id="21"/>
      <w:bookmarkEnd w:id="22"/>
      <w:bookmarkEnd w:id="23"/>
      <w:bookmarkEnd w:id="24"/>
    </w:p>
    <w:p w14:paraId="4206E94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1.4.1 投标人应具备承担本项目的资质条件、能力和信誉。</w:t>
      </w:r>
    </w:p>
    <w:p w14:paraId="1E3060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1.4.2 本项目不接受联合体投标。</w:t>
      </w:r>
    </w:p>
    <w:p w14:paraId="40F0E7D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1.4.3 投标人不得存在下列情形之一：</w:t>
      </w:r>
    </w:p>
    <w:p w14:paraId="74FA97D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1.4.3.1 与国有资金投资或国家融资项目的招标人或招标代理机构有控股关系；</w:t>
      </w:r>
    </w:p>
    <w:p w14:paraId="4CA0F00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1.4.3.2 单位负责人为同一人或者存在控股、管理关系的不同单位，不得参加同一标段投标或者未划分标段的同一招标项目投标。</w:t>
      </w:r>
    </w:p>
    <w:p w14:paraId="5525D2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1.4.3.3 为参加同一招标项目投标的其他投标人编制投标文件或提供咨询服务；</w:t>
      </w:r>
    </w:p>
    <w:p w14:paraId="27077AA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1.4.3.4 被有关行政部门暂停投标资格期限未满。</w:t>
      </w:r>
    </w:p>
    <w:p w14:paraId="64F9B36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5" w:name="_Toc200513132"/>
      <w:bookmarkStart w:id="26" w:name="_Toc325636585"/>
      <w:bookmarkStart w:id="27" w:name="_Toc317863427"/>
      <w:bookmarkStart w:id="28" w:name="_Toc17569"/>
      <w:bookmarkStart w:id="29" w:name="_Toc531594740"/>
      <w:bookmarkStart w:id="30" w:name="_Toc334774169"/>
      <w:r>
        <w:rPr>
          <w:rFonts w:ascii="Times New Roman" w:hAnsi="Times New Roman" w:eastAsia="方正仿宋_GBK" w:cs="Times New Roman"/>
          <w:b/>
          <w:color w:val="auto"/>
          <w:kern w:val="0"/>
          <w:sz w:val="21"/>
          <w:szCs w:val="21"/>
          <w:highlight w:val="none"/>
        </w:rPr>
        <w:t>1.5 费用承担</w:t>
      </w:r>
      <w:bookmarkEnd w:id="25"/>
      <w:bookmarkEnd w:id="26"/>
      <w:bookmarkEnd w:id="27"/>
      <w:bookmarkEnd w:id="28"/>
      <w:bookmarkEnd w:id="29"/>
      <w:bookmarkEnd w:id="30"/>
    </w:p>
    <w:p w14:paraId="5A63987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不论投标结果如何，投标人应自行承担其准备和参加本投标活动所涉及的一切费用。</w:t>
      </w:r>
    </w:p>
    <w:p w14:paraId="39DCA2E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31" w:name="_Toc334774170"/>
      <w:bookmarkStart w:id="32" w:name="_Toc325636586"/>
      <w:bookmarkStart w:id="33" w:name="_Toc317863428"/>
      <w:bookmarkStart w:id="34" w:name="_Toc200513133"/>
      <w:r>
        <w:rPr>
          <w:rFonts w:ascii="Times New Roman" w:hAnsi="Times New Roman" w:eastAsia="方正仿宋_GBK" w:cs="Times New Roman"/>
          <w:b/>
          <w:color w:val="auto"/>
          <w:kern w:val="0"/>
          <w:sz w:val="21"/>
          <w:szCs w:val="21"/>
          <w:highlight w:val="none"/>
        </w:rPr>
        <w:t>1.6 保密</w:t>
      </w:r>
      <w:bookmarkEnd w:id="31"/>
      <w:bookmarkEnd w:id="32"/>
      <w:bookmarkEnd w:id="33"/>
      <w:bookmarkEnd w:id="34"/>
    </w:p>
    <w:p w14:paraId="6061A4E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参与招标投标活动的各方应对招标文件和投标文件中的商业和技术等秘密保密，违者应对由此造成的后果承担法律责任。</w:t>
      </w:r>
    </w:p>
    <w:p w14:paraId="1CFFDB8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35" w:name="_Toc531594741"/>
      <w:bookmarkStart w:id="36" w:name="_Toc325636587"/>
      <w:bookmarkStart w:id="37" w:name="_Toc19952"/>
      <w:bookmarkStart w:id="38" w:name="_Toc200513134"/>
      <w:bookmarkStart w:id="39" w:name="_Toc317863429"/>
      <w:bookmarkStart w:id="40" w:name="_Toc334774171"/>
      <w:r>
        <w:rPr>
          <w:rFonts w:ascii="Times New Roman" w:hAnsi="Times New Roman" w:eastAsia="方正仿宋_GBK" w:cs="Times New Roman"/>
          <w:b/>
          <w:kern w:val="0"/>
          <w:sz w:val="21"/>
          <w:szCs w:val="21"/>
          <w:highlight w:val="none"/>
        </w:rPr>
        <w:t>1.7 语言文字</w:t>
      </w:r>
      <w:bookmarkEnd w:id="35"/>
      <w:bookmarkEnd w:id="36"/>
      <w:bookmarkEnd w:id="37"/>
      <w:bookmarkEnd w:id="38"/>
      <w:bookmarkEnd w:id="39"/>
      <w:bookmarkEnd w:id="40"/>
    </w:p>
    <w:p w14:paraId="1E94B67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除专用术语外，与招标投标有关的语言均使用中文。必要时专用术语应附有中文注释。</w:t>
      </w:r>
    </w:p>
    <w:p w14:paraId="4A27A09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41" w:name="_Toc317863430"/>
      <w:bookmarkStart w:id="42" w:name="_Toc334774172"/>
      <w:bookmarkStart w:id="43" w:name="_Toc200513135"/>
      <w:bookmarkStart w:id="44" w:name="_Toc325636588"/>
      <w:bookmarkStart w:id="45" w:name="_Toc16650"/>
      <w:bookmarkStart w:id="46" w:name="_Toc531594742"/>
      <w:r>
        <w:rPr>
          <w:rFonts w:ascii="Times New Roman" w:hAnsi="Times New Roman" w:eastAsia="方正仿宋_GBK" w:cs="Times New Roman"/>
          <w:b/>
          <w:kern w:val="0"/>
          <w:sz w:val="21"/>
          <w:szCs w:val="21"/>
          <w:highlight w:val="none"/>
        </w:rPr>
        <w:t>1.8 计量单位</w:t>
      </w:r>
      <w:bookmarkEnd w:id="41"/>
      <w:bookmarkEnd w:id="42"/>
      <w:bookmarkEnd w:id="43"/>
      <w:bookmarkEnd w:id="44"/>
      <w:bookmarkEnd w:id="45"/>
      <w:bookmarkEnd w:id="46"/>
    </w:p>
    <w:p w14:paraId="6D4943C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所有计量均采用中华人民共和国法定计量单位。</w:t>
      </w:r>
    </w:p>
    <w:p w14:paraId="2EBB2C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47" w:name="_Toc334774173"/>
      <w:bookmarkStart w:id="48" w:name="_Toc200513136"/>
      <w:bookmarkStart w:id="49" w:name="_Toc325636589"/>
      <w:bookmarkStart w:id="50" w:name="_Toc26520"/>
      <w:bookmarkStart w:id="51" w:name="_Toc531594743"/>
      <w:bookmarkStart w:id="52" w:name="_Toc317863431"/>
      <w:r>
        <w:rPr>
          <w:rFonts w:ascii="Times New Roman" w:hAnsi="Times New Roman" w:eastAsia="方正仿宋_GBK" w:cs="Times New Roman"/>
          <w:b/>
          <w:kern w:val="0"/>
          <w:sz w:val="21"/>
          <w:szCs w:val="21"/>
          <w:highlight w:val="none"/>
        </w:rPr>
        <w:t>1.9 踏勘现场</w:t>
      </w:r>
      <w:bookmarkEnd w:id="47"/>
      <w:bookmarkEnd w:id="48"/>
      <w:bookmarkEnd w:id="49"/>
      <w:bookmarkEnd w:id="50"/>
      <w:bookmarkEnd w:id="51"/>
      <w:bookmarkEnd w:id="52"/>
    </w:p>
    <w:p w14:paraId="5DA4FFE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由投标人自行踏勘现场。</w:t>
      </w:r>
    </w:p>
    <w:p w14:paraId="1DFB4A9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r>
        <w:rPr>
          <w:rFonts w:ascii="Times New Roman" w:hAnsi="Times New Roman" w:eastAsia="方正仿宋_GBK" w:cs="Times New Roman"/>
          <w:b/>
          <w:kern w:val="0"/>
          <w:sz w:val="21"/>
          <w:szCs w:val="21"/>
          <w:highlight w:val="none"/>
        </w:rPr>
        <w:t>1.10 投标预备会</w:t>
      </w:r>
    </w:p>
    <w:p w14:paraId="4C6969B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本项目不组织投标预备会。</w:t>
      </w:r>
    </w:p>
    <w:p w14:paraId="030A13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53" w:name="_Toc19903"/>
      <w:bookmarkStart w:id="54" w:name="_Toc334774176"/>
      <w:bookmarkStart w:id="55" w:name="_Toc317863435"/>
      <w:bookmarkStart w:id="56" w:name="_Toc531594746"/>
      <w:bookmarkStart w:id="57" w:name="_Toc325636593"/>
      <w:r>
        <w:rPr>
          <w:rFonts w:ascii="Times New Roman" w:hAnsi="Times New Roman" w:eastAsia="方正仿宋_GBK" w:cs="Times New Roman"/>
          <w:b/>
          <w:kern w:val="0"/>
          <w:sz w:val="21"/>
          <w:szCs w:val="21"/>
          <w:highlight w:val="none"/>
        </w:rPr>
        <w:t>1.11 偏离</w:t>
      </w:r>
      <w:bookmarkEnd w:id="53"/>
      <w:bookmarkEnd w:id="54"/>
      <w:bookmarkEnd w:id="55"/>
      <w:bookmarkEnd w:id="56"/>
      <w:bookmarkEnd w:id="57"/>
    </w:p>
    <w:p w14:paraId="34A7B79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投标人需知前附表允许投标文件偏离招标文件某些要求的，偏离应当符合招标文件规定的偏离范围和幅度。</w:t>
      </w:r>
    </w:p>
    <w:p w14:paraId="213B9E5D">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2"/>
        <w:rPr>
          <w:rFonts w:ascii="Times New Roman" w:hAnsi="Times New Roman" w:eastAsia="方正楷体_GBK" w:cs="Times New Roman"/>
          <w:b/>
          <w:w w:val="99"/>
          <w:kern w:val="0"/>
          <w:sz w:val="21"/>
          <w:szCs w:val="21"/>
          <w:highlight w:val="none"/>
          <w:lang w:val="zh-CN"/>
        </w:rPr>
      </w:pPr>
      <w:bookmarkStart w:id="58" w:name="_Toc778"/>
      <w:bookmarkStart w:id="59" w:name="_Toc317863436"/>
      <w:bookmarkStart w:id="60" w:name="_Toc200513140"/>
      <w:bookmarkStart w:id="61" w:name="_Toc334774177"/>
      <w:bookmarkStart w:id="62" w:name="_Toc531594747"/>
      <w:r>
        <w:rPr>
          <w:rFonts w:ascii="Times New Roman" w:hAnsi="Times New Roman" w:eastAsia="方正楷体_GBK" w:cs="Times New Roman"/>
          <w:b/>
          <w:w w:val="99"/>
          <w:kern w:val="0"/>
          <w:sz w:val="21"/>
          <w:szCs w:val="21"/>
          <w:highlight w:val="none"/>
          <w:lang w:val="zh-CN"/>
        </w:rPr>
        <w:t>2.招标文件</w:t>
      </w:r>
      <w:bookmarkEnd w:id="58"/>
      <w:bookmarkEnd w:id="59"/>
      <w:bookmarkEnd w:id="60"/>
      <w:bookmarkEnd w:id="61"/>
      <w:bookmarkEnd w:id="62"/>
    </w:p>
    <w:p w14:paraId="0737133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63" w:name="_Toc531594748"/>
      <w:bookmarkStart w:id="64" w:name="_Toc325636595"/>
      <w:bookmarkStart w:id="65" w:name="_Toc317863437"/>
      <w:bookmarkStart w:id="66" w:name="_Toc32194"/>
      <w:bookmarkStart w:id="67" w:name="_Toc200513141"/>
      <w:bookmarkStart w:id="68" w:name="_Toc334774178"/>
      <w:r>
        <w:rPr>
          <w:rFonts w:ascii="Times New Roman" w:hAnsi="Times New Roman" w:eastAsia="方正仿宋_GBK" w:cs="Times New Roman"/>
          <w:b/>
          <w:kern w:val="0"/>
          <w:sz w:val="21"/>
          <w:szCs w:val="21"/>
          <w:highlight w:val="none"/>
        </w:rPr>
        <w:t>2.1 招标文件的组成</w:t>
      </w:r>
      <w:bookmarkEnd w:id="63"/>
      <w:bookmarkEnd w:id="64"/>
      <w:bookmarkEnd w:id="65"/>
      <w:bookmarkEnd w:id="66"/>
      <w:bookmarkEnd w:id="67"/>
      <w:bookmarkEnd w:id="68"/>
    </w:p>
    <w:p w14:paraId="66E96FC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本招标文件包括：</w:t>
      </w:r>
    </w:p>
    <w:p w14:paraId="24734CF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（1）招标公告；</w:t>
      </w:r>
    </w:p>
    <w:p w14:paraId="765B6C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（2）投标人须知；</w:t>
      </w:r>
    </w:p>
    <w:p w14:paraId="382406A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（3）技术标准和要求；</w:t>
      </w:r>
    </w:p>
    <w:p w14:paraId="61C77E9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（4）评标办法；</w:t>
      </w:r>
    </w:p>
    <w:p w14:paraId="3D50345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（5）投标文件格式；</w:t>
      </w:r>
    </w:p>
    <w:p w14:paraId="48F473A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根据本章第1.10款、第2.2款和第2.3款对招标文件所作的澄清、修改，构成招标文件的组成部分。</w:t>
      </w:r>
    </w:p>
    <w:p w14:paraId="650682A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69" w:name="_Toc325636596"/>
      <w:bookmarkStart w:id="70" w:name="_Toc200513142"/>
      <w:bookmarkStart w:id="71" w:name="_Toc334774179"/>
      <w:bookmarkStart w:id="72" w:name="_Toc317863438"/>
      <w:bookmarkStart w:id="73" w:name="_Toc531594749"/>
      <w:bookmarkStart w:id="74" w:name="_Toc13635"/>
      <w:r>
        <w:rPr>
          <w:rFonts w:ascii="Times New Roman" w:hAnsi="Times New Roman" w:eastAsia="方正仿宋_GBK" w:cs="Times New Roman"/>
          <w:b/>
          <w:kern w:val="0"/>
          <w:sz w:val="21"/>
          <w:szCs w:val="21"/>
          <w:highlight w:val="none"/>
        </w:rPr>
        <w:t xml:space="preserve">2.2 </w:t>
      </w:r>
      <w:bookmarkEnd w:id="69"/>
      <w:bookmarkEnd w:id="70"/>
      <w:bookmarkEnd w:id="71"/>
      <w:bookmarkEnd w:id="72"/>
      <w:r>
        <w:rPr>
          <w:rFonts w:ascii="Times New Roman" w:hAnsi="Times New Roman" w:eastAsia="方正仿宋_GBK" w:cs="Times New Roman"/>
          <w:b/>
          <w:kern w:val="0"/>
          <w:sz w:val="21"/>
          <w:szCs w:val="21"/>
          <w:highlight w:val="none"/>
        </w:rPr>
        <w:t>对招标文件的疑问</w:t>
      </w:r>
      <w:bookmarkEnd w:id="73"/>
      <w:bookmarkEnd w:id="74"/>
    </w:p>
    <w:p w14:paraId="45CFDD9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2.2.1投标人应仔细阅读和检查下载的招标文件的全部内容。如发现缺页或附件不全，应及时向招标人提出，以便补齐。如有疑问，应在投标人须知前附表规定的形式和时间前，通知并要求招标人对招标文件予以澄清。</w:t>
      </w:r>
    </w:p>
    <w:p w14:paraId="5275EE2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75" w:name="_Toc531594750"/>
      <w:bookmarkStart w:id="76" w:name="_Toc29041"/>
      <w:r>
        <w:rPr>
          <w:rFonts w:ascii="Times New Roman" w:hAnsi="Times New Roman" w:eastAsia="方正仿宋_GBK" w:cs="Times New Roman"/>
          <w:b/>
          <w:kern w:val="0"/>
          <w:sz w:val="21"/>
          <w:szCs w:val="21"/>
          <w:highlight w:val="none"/>
        </w:rPr>
        <w:t>2.3 招标文件的澄清、修改和答疑</w:t>
      </w:r>
      <w:bookmarkEnd w:id="75"/>
      <w:bookmarkEnd w:id="76"/>
    </w:p>
    <w:p w14:paraId="113D72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kern w:val="0"/>
          <w:sz w:val="21"/>
          <w:szCs w:val="21"/>
          <w:highlight w:val="none"/>
        </w:rPr>
        <w:t>2.3.1 投标人如果有疑问，招标人以须知前附表规定的形式对招标文件澄清、修改和答疑，在重</w:t>
      </w:r>
      <w:r>
        <w:rPr>
          <w:rFonts w:hint="eastAsia" w:ascii="Times New Roman" w:hAnsi="Times New Roman" w:eastAsia="方正仿宋_GBK" w:cs="Times New Roman"/>
          <w:kern w:val="0"/>
          <w:sz w:val="21"/>
          <w:szCs w:val="21"/>
          <w:highlight w:val="none"/>
        </w:rPr>
        <w:t>庆</w:t>
      </w:r>
      <w:r>
        <w:rPr>
          <w:rFonts w:ascii="Times New Roman" w:hAnsi="Times New Roman" w:eastAsia="方正仿宋_GBK" w:cs="Times New Roman"/>
          <w:kern w:val="0"/>
          <w:sz w:val="21"/>
          <w:szCs w:val="21"/>
          <w:highlight w:val="none"/>
        </w:rPr>
        <w:t>财经学院校园网（http://www.cfec.edu.cn）发出通知或答疑通知；投标人应时刻在网上相应地方查寻通知、修改、答疑等信息，如果投标人疏忽大意，其后果自负。如果澄清、修改和答疑的时间</w:t>
      </w:r>
      <w:r>
        <w:rPr>
          <w:rFonts w:ascii="Times New Roman" w:hAnsi="Times New Roman" w:eastAsia="方正仿宋_GBK" w:cs="Times New Roman"/>
          <w:color w:val="auto"/>
          <w:kern w:val="0"/>
          <w:sz w:val="21"/>
          <w:szCs w:val="21"/>
          <w:highlight w:val="none"/>
        </w:rPr>
        <w:t>距投标截止时间不足1天，经有关部门同意后通知相应延长投标截止时间。</w:t>
      </w:r>
    </w:p>
    <w:p w14:paraId="7D54202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2.3.2 投标人网上收到答疑、修改通知后，应按照内容执行，不必确认已收到该修改。</w:t>
      </w:r>
    </w:p>
    <w:p w14:paraId="1F61F5B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b/>
          <w:bCs/>
          <w:color w:val="auto"/>
          <w:kern w:val="0"/>
          <w:sz w:val="21"/>
          <w:szCs w:val="21"/>
          <w:highlight w:val="none"/>
          <w:lang w:val="zh-CN" w:eastAsia="zh-CN"/>
        </w:rPr>
      </w:pPr>
      <w:bookmarkStart w:id="77" w:name="_Toc531594751"/>
      <w:bookmarkStart w:id="78" w:name="_Toc18374"/>
      <w:r>
        <w:rPr>
          <w:rFonts w:hint="eastAsia" w:ascii="Times New Roman" w:hAnsi="Times New Roman" w:eastAsia="方正仿宋_GBK" w:cs="Times New Roman"/>
          <w:b/>
          <w:bCs/>
          <w:color w:val="auto"/>
          <w:kern w:val="0"/>
          <w:sz w:val="21"/>
          <w:szCs w:val="21"/>
          <w:highlight w:val="none"/>
          <w:lang w:val="zh-CN" w:eastAsia="zh-CN"/>
        </w:rPr>
        <w:t>3.投标文件</w:t>
      </w:r>
      <w:bookmarkEnd w:id="77"/>
      <w:bookmarkEnd w:id="78"/>
    </w:p>
    <w:p w14:paraId="2D53A67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b/>
          <w:bCs/>
          <w:color w:val="auto"/>
          <w:kern w:val="0"/>
          <w:sz w:val="21"/>
          <w:szCs w:val="21"/>
          <w:highlight w:val="none"/>
          <w:lang w:val="en-US" w:eastAsia="zh-CN"/>
        </w:rPr>
      </w:pPr>
      <w:bookmarkStart w:id="79" w:name="_Toc317863441"/>
      <w:bookmarkStart w:id="80" w:name="_Toc19286"/>
      <w:bookmarkStart w:id="81" w:name="_Toc325636599"/>
      <w:bookmarkStart w:id="82" w:name="_Toc531594752"/>
      <w:bookmarkStart w:id="83" w:name="_Toc200513145"/>
      <w:bookmarkStart w:id="84" w:name="_Toc334774182"/>
      <w:r>
        <w:rPr>
          <w:rFonts w:hint="eastAsia" w:ascii="Times New Roman" w:hAnsi="Times New Roman" w:eastAsia="方正仿宋_GBK" w:cs="Times New Roman"/>
          <w:b/>
          <w:bCs/>
          <w:color w:val="auto"/>
          <w:kern w:val="0"/>
          <w:sz w:val="21"/>
          <w:szCs w:val="21"/>
          <w:highlight w:val="none"/>
          <w:lang w:val="en-US" w:eastAsia="zh-CN"/>
        </w:rPr>
        <w:t>3.1 投标文件的组成</w:t>
      </w:r>
      <w:bookmarkEnd w:id="79"/>
      <w:bookmarkEnd w:id="80"/>
      <w:bookmarkEnd w:id="81"/>
      <w:bookmarkEnd w:id="82"/>
      <w:bookmarkEnd w:id="83"/>
      <w:bookmarkEnd w:id="84"/>
    </w:p>
    <w:p w14:paraId="1735B10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3.1.1 投标函</w:t>
      </w:r>
    </w:p>
    <w:p w14:paraId="01D4D5B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3.1.2 法定代表人身份证明及授权委托书</w:t>
      </w:r>
    </w:p>
    <w:p w14:paraId="5D17E9E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3.1.3 投标人基本情况表</w:t>
      </w:r>
    </w:p>
    <w:p w14:paraId="7976337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3.1.4 响应文件</w:t>
      </w:r>
    </w:p>
    <w:p w14:paraId="46A2460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3.1.5 相关资质证明及承诺</w:t>
      </w:r>
    </w:p>
    <w:p w14:paraId="5A668CD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3.1.6 售后服务</w:t>
      </w:r>
    </w:p>
    <w:p w14:paraId="2B35A9F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3.1.7 投标业绩一览表</w:t>
      </w:r>
    </w:p>
    <w:p w14:paraId="23CC590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3.1.8 近三年财务报表（包括资产负债表、利润表和现金流量表）</w:t>
      </w:r>
    </w:p>
    <w:p w14:paraId="21ECDF0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3.1.9 近三年纳税、社保缴纳证明</w:t>
      </w:r>
    </w:p>
    <w:p w14:paraId="69D38D0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default"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3.1.10 近三年官网诚信证明截图</w:t>
      </w:r>
    </w:p>
    <w:p w14:paraId="7FD88DA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3.1.11 承诺函</w:t>
      </w:r>
    </w:p>
    <w:p w14:paraId="1C3E38E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3.1.12 投标文件PDF格式的电子档U盘一份</w:t>
      </w:r>
    </w:p>
    <w:p w14:paraId="057CE39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r>
        <w:rPr>
          <w:rFonts w:ascii="Times New Roman" w:hAnsi="Times New Roman" w:eastAsia="方正仿宋_GBK" w:cs="Times New Roman"/>
          <w:b/>
          <w:kern w:val="0"/>
          <w:sz w:val="21"/>
          <w:szCs w:val="21"/>
          <w:highlight w:val="none"/>
        </w:rPr>
        <w:t>3.2 投标报价</w:t>
      </w:r>
    </w:p>
    <w:p w14:paraId="2333E9E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3.2.1 投标人应按投标人须知前附表及其相关规定填报。</w:t>
      </w:r>
    </w:p>
    <w:p w14:paraId="19A118C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85" w:name="_Toc325636601"/>
      <w:bookmarkStart w:id="86" w:name="_Toc317863443"/>
      <w:bookmarkStart w:id="87" w:name="_Toc200513147"/>
      <w:bookmarkStart w:id="88" w:name="_Toc12196"/>
      <w:bookmarkStart w:id="89" w:name="_Toc334774184"/>
      <w:bookmarkStart w:id="90" w:name="_Toc531594754"/>
      <w:r>
        <w:rPr>
          <w:rFonts w:ascii="Times New Roman" w:hAnsi="Times New Roman" w:eastAsia="方正仿宋_GBK" w:cs="Times New Roman"/>
          <w:b/>
          <w:kern w:val="0"/>
          <w:sz w:val="21"/>
          <w:szCs w:val="21"/>
          <w:highlight w:val="none"/>
        </w:rPr>
        <w:t>3.3 投标有效期</w:t>
      </w:r>
      <w:bookmarkEnd w:id="85"/>
      <w:bookmarkEnd w:id="86"/>
      <w:bookmarkEnd w:id="87"/>
      <w:bookmarkEnd w:id="88"/>
      <w:bookmarkEnd w:id="89"/>
      <w:bookmarkEnd w:id="90"/>
    </w:p>
    <w:p w14:paraId="5440B7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3.3.1 在投标人须知前附表规定的投标有效期内，投标人不得要求撤销或修改其投标文件。</w:t>
      </w:r>
    </w:p>
    <w:p w14:paraId="51B96EF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1E3C0A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91" w:name="_Toc334774185"/>
      <w:bookmarkStart w:id="92" w:name="_Toc325636602"/>
      <w:bookmarkStart w:id="93" w:name="_Toc317863444"/>
      <w:bookmarkStart w:id="94" w:name="_Toc531594755"/>
      <w:bookmarkStart w:id="95" w:name="_Toc200513148"/>
      <w:bookmarkStart w:id="96" w:name="_Toc28560"/>
      <w:r>
        <w:rPr>
          <w:rFonts w:ascii="Times New Roman" w:hAnsi="Times New Roman" w:eastAsia="方正仿宋_GBK" w:cs="Times New Roman"/>
          <w:b/>
          <w:kern w:val="0"/>
          <w:sz w:val="21"/>
          <w:szCs w:val="21"/>
          <w:highlight w:val="none"/>
        </w:rPr>
        <w:t>3.4 投标保证金</w:t>
      </w:r>
      <w:bookmarkEnd w:id="91"/>
      <w:bookmarkEnd w:id="92"/>
      <w:bookmarkEnd w:id="93"/>
      <w:bookmarkEnd w:id="94"/>
      <w:bookmarkEnd w:id="95"/>
      <w:bookmarkEnd w:id="96"/>
    </w:p>
    <w:p w14:paraId="296240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3.4.1 投标人在递交投标文件的同时，应按“投标人须知前附表”规定的金额、形式缴纳投标保证金，并作为其投标文件的组成部分。</w:t>
      </w:r>
    </w:p>
    <w:p w14:paraId="3952329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3.4.2 投标人不按本章第 3.4.1 项要求提交投标保证金的，其投标文件作废标处理。</w:t>
      </w:r>
    </w:p>
    <w:p w14:paraId="216AAF0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3.4.3 招标人</w:t>
      </w:r>
      <w:r>
        <w:rPr>
          <w:rFonts w:hint="eastAsia" w:ascii="Times New Roman" w:hAnsi="Times New Roman" w:eastAsia="方正仿宋_GBK" w:cs="Times New Roman"/>
          <w:kern w:val="0"/>
          <w:sz w:val="21"/>
          <w:szCs w:val="21"/>
          <w:highlight w:val="none"/>
        </w:rPr>
        <w:t>现场</w:t>
      </w:r>
      <w:r>
        <w:rPr>
          <w:rFonts w:ascii="Times New Roman" w:hAnsi="Times New Roman" w:eastAsia="方正仿宋_GBK" w:cs="Times New Roman"/>
          <w:kern w:val="0"/>
          <w:sz w:val="21"/>
          <w:szCs w:val="21"/>
          <w:highlight w:val="none"/>
        </w:rPr>
        <w:t>退还未列入中标候选人的投标保证金（不计息），招标人与中标人签订合同后10个工作日内，学院向其他中标候选人退还投标保证金（不计息）。</w:t>
      </w:r>
    </w:p>
    <w:p w14:paraId="14C89A6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3.4.4 有下列情形之一的，投标保证金将不予退还：</w:t>
      </w:r>
    </w:p>
    <w:p w14:paraId="6ED7F72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3.4.4.1 投标人在规定的投标有效期内撤销或修改其投标文件；</w:t>
      </w:r>
    </w:p>
    <w:p w14:paraId="6E313A3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3.4.4.2 中标人在中标通知书发出3日之内拒绝签订合同，其保证金将不予退还。</w:t>
      </w:r>
    </w:p>
    <w:p w14:paraId="7192CF2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r>
        <w:rPr>
          <w:rFonts w:ascii="Times New Roman" w:hAnsi="Times New Roman" w:eastAsia="方正仿宋_GBK" w:cs="Times New Roman"/>
          <w:b/>
          <w:kern w:val="0"/>
          <w:sz w:val="21"/>
          <w:szCs w:val="21"/>
          <w:highlight w:val="none"/>
        </w:rPr>
        <w:t>3.5 资格审查资料</w:t>
      </w:r>
    </w:p>
    <w:p w14:paraId="28220B8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3.5.1 本须知前附表1.4.1条要求的相关资料复印件（需要加盖公章）和投标文件格式要求的内容；</w:t>
      </w:r>
    </w:p>
    <w:p w14:paraId="3D20CD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97" w:name="_Toc334774187"/>
      <w:bookmarkStart w:id="98" w:name="_Toc7983"/>
      <w:bookmarkStart w:id="99" w:name="_Toc317863446"/>
      <w:bookmarkStart w:id="100" w:name="_Toc531594756"/>
      <w:bookmarkStart w:id="101" w:name="_Toc325636604"/>
      <w:bookmarkStart w:id="102" w:name="_Toc200513151"/>
      <w:r>
        <w:rPr>
          <w:rFonts w:ascii="Times New Roman" w:hAnsi="Times New Roman" w:eastAsia="方正仿宋_GBK" w:cs="Times New Roman"/>
          <w:b/>
          <w:kern w:val="0"/>
          <w:sz w:val="21"/>
          <w:szCs w:val="21"/>
          <w:highlight w:val="none"/>
        </w:rPr>
        <w:t>3.6 备选投标人案</w:t>
      </w:r>
      <w:bookmarkEnd w:id="97"/>
      <w:bookmarkEnd w:id="98"/>
      <w:bookmarkEnd w:id="99"/>
      <w:bookmarkEnd w:id="100"/>
      <w:bookmarkEnd w:id="101"/>
      <w:bookmarkEnd w:id="102"/>
    </w:p>
    <w:p w14:paraId="2E65511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投标人不得递交备选投标人案。</w:t>
      </w:r>
    </w:p>
    <w:p w14:paraId="7FE5B6C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03" w:name="_Toc325636605"/>
      <w:bookmarkStart w:id="104" w:name="_Toc200513152"/>
      <w:bookmarkStart w:id="105" w:name="_Toc334774188"/>
      <w:bookmarkStart w:id="106" w:name="_Toc317863447"/>
      <w:bookmarkStart w:id="107" w:name="_Toc531594757"/>
      <w:bookmarkStart w:id="108" w:name="_Toc21408"/>
      <w:r>
        <w:rPr>
          <w:rFonts w:ascii="Times New Roman" w:hAnsi="Times New Roman" w:eastAsia="方正仿宋_GBK" w:cs="Times New Roman"/>
          <w:b/>
          <w:kern w:val="0"/>
          <w:sz w:val="21"/>
          <w:szCs w:val="21"/>
          <w:highlight w:val="none"/>
        </w:rPr>
        <w:t>3.7 投标文件的编制</w:t>
      </w:r>
      <w:bookmarkEnd w:id="103"/>
      <w:bookmarkEnd w:id="104"/>
      <w:bookmarkEnd w:id="105"/>
      <w:bookmarkEnd w:id="106"/>
      <w:bookmarkEnd w:id="107"/>
      <w:bookmarkEnd w:id="108"/>
    </w:p>
    <w:p w14:paraId="2AA0CF3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14:paraId="76399D4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3.7.2 投标文件应当对招标文件有关工期、投标有效期、质量要求、技术标准和要求、招标范围等实质性内容做出响应。</w:t>
      </w:r>
    </w:p>
    <w:p w14:paraId="1B53D77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14:paraId="7A7E5B2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3.7.4 投标文件份数见投标须知前附表。</w:t>
      </w:r>
    </w:p>
    <w:p w14:paraId="5C7AEB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3.7.5 投标文件的正本与副本应分别装订成册，并编制目录，具体装订要求见投标人须知前附表规定。</w:t>
      </w:r>
    </w:p>
    <w:p w14:paraId="72B64B7A">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09" w:name="_Toc200513153"/>
      <w:bookmarkStart w:id="110" w:name="_Toc13793"/>
      <w:bookmarkStart w:id="111" w:name="_Toc317863448"/>
      <w:bookmarkStart w:id="112" w:name="_Toc531594758"/>
      <w:bookmarkStart w:id="113" w:name="_Toc334774189"/>
      <w:r>
        <w:rPr>
          <w:rFonts w:ascii="Times New Roman" w:hAnsi="Times New Roman" w:eastAsia="方正楷体_GBK" w:cs="Times New Roman"/>
          <w:b/>
          <w:w w:val="99"/>
          <w:kern w:val="0"/>
          <w:sz w:val="21"/>
          <w:szCs w:val="21"/>
          <w:highlight w:val="none"/>
          <w:lang w:val="zh-CN"/>
        </w:rPr>
        <w:t>4.投标</w:t>
      </w:r>
      <w:bookmarkEnd w:id="109"/>
      <w:bookmarkEnd w:id="110"/>
      <w:bookmarkEnd w:id="111"/>
      <w:bookmarkEnd w:id="112"/>
      <w:bookmarkEnd w:id="113"/>
    </w:p>
    <w:p w14:paraId="567A863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14" w:name="_Toc317863449"/>
      <w:bookmarkStart w:id="115" w:name="_Toc200513154"/>
      <w:bookmarkStart w:id="116" w:name="_Toc325636607"/>
      <w:bookmarkStart w:id="117" w:name="_Toc26003"/>
      <w:bookmarkStart w:id="118" w:name="_Toc334774190"/>
      <w:bookmarkStart w:id="119" w:name="_Toc531594759"/>
      <w:r>
        <w:rPr>
          <w:rFonts w:ascii="Times New Roman" w:hAnsi="Times New Roman" w:eastAsia="方正仿宋_GBK" w:cs="Times New Roman"/>
          <w:b/>
          <w:kern w:val="0"/>
          <w:sz w:val="21"/>
          <w:szCs w:val="21"/>
          <w:highlight w:val="none"/>
        </w:rPr>
        <w:t>4.1 投标文件的密封和标记</w:t>
      </w:r>
      <w:bookmarkEnd w:id="114"/>
      <w:bookmarkEnd w:id="115"/>
      <w:bookmarkEnd w:id="116"/>
      <w:bookmarkEnd w:id="117"/>
      <w:bookmarkEnd w:id="118"/>
      <w:bookmarkEnd w:id="119"/>
    </w:p>
    <w:p w14:paraId="357D13B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4.1.1 投标文件的密封见投标人须知前附表。</w:t>
      </w:r>
    </w:p>
    <w:p w14:paraId="1A699AB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4.1.2 投标文件的封套上应写明的内容见投标人须知前附表。</w:t>
      </w:r>
    </w:p>
    <w:p w14:paraId="6060118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4.1.3 未按要求密封和写标记的投标文件，将被拒绝受理。</w:t>
      </w:r>
    </w:p>
    <w:p w14:paraId="608E303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20" w:name="_Toc5004"/>
      <w:bookmarkStart w:id="121" w:name="_Toc317863450"/>
      <w:bookmarkStart w:id="122" w:name="_Toc531594760"/>
      <w:bookmarkStart w:id="123" w:name="_Toc325636608"/>
      <w:bookmarkStart w:id="124" w:name="_Toc334774191"/>
      <w:r>
        <w:rPr>
          <w:rFonts w:ascii="Times New Roman" w:hAnsi="Times New Roman" w:eastAsia="方正仿宋_GBK" w:cs="Times New Roman"/>
          <w:b/>
          <w:kern w:val="0"/>
          <w:sz w:val="21"/>
          <w:szCs w:val="21"/>
          <w:highlight w:val="none"/>
        </w:rPr>
        <w:t>4.2 投标文件的递交</w:t>
      </w:r>
      <w:bookmarkEnd w:id="120"/>
      <w:bookmarkEnd w:id="121"/>
      <w:bookmarkEnd w:id="122"/>
      <w:bookmarkEnd w:id="123"/>
      <w:bookmarkEnd w:id="124"/>
    </w:p>
    <w:p w14:paraId="49DD116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4.2.1 投标人应在本章前附表规定的投标截止时间前递交投标文件。</w:t>
      </w:r>
    </w:p>
    <w:p w14:paraId="40F0E78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4.2.2 投标人递交投标文件的地点：见投标人须知前附表。</w:t>
      </w:r>
    </w:p>
    <w:p w14:paraId="74EEAA0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4.2.3 除投标人须知前附表另有规定外，投标人所递交的投标文件不予退还。</w:t>
      </w:r>
    </w:p>
    <w:p w14:paraId="02FD26F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4.2.4 招标人收到投标文件后，向投标人出具签收凭证。</w:t>
      </w:r>
    </w:p>
    <w:p w14:paraId="44CD489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4.2.5 逾期送达的或者未送达指定地点的投标文件，招标人不予受理。</w:t>
      </w:r>
    </w:p>
    <w:p w14:paraId="1267C2A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25" w:name="_Toc531594761"/>
      <w:bookmarkStart w:id="126" w:name="_Toc334774192"/>
      <w:bookmarkStart w:id="127" w:name="_Toc317863451"/>
      <w:bookmarkStart w:id="128" w:name="_Toc20769"/>
      <w:bookmarkStart w:id="129" w:name="_Toc200513156"/>
      <w:bookmarkStart w:id="130" w:name="_Toc325636609"/>
      <w:r>
        <w:rPr>
          <w:rFonts w:ascii="Times New Roman" w:hAnsi="Times New Roman" w:eastAsia="方正仿宋_GBK" w:cs="Times New Roman"/>
          <w:b/>
          <w:kern w:val="0"/>
          <w:sz w:val="21"/>
          <w:szCs w:val="21"/>
          <w:highlight w:val="none"/>
        </w:rPr>
        <w:t>4.3 投标文件的修改与撤回</w:t>
      </w:r>
      <w:bookmarkEnd w:id="125"/>
      <w:bookmarkEnd w:id="126"/>
      <w:bookmarkEnd w:id="127"/>
      <w:bookmarkEnd w:id="128"/>
      <w:bookmarkEnd w:id="129"/>
      <w:bookmarkEnd w:id="130"/>
    </w:p>
    <w:p w14:paraId="31A31E5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4.3.1 在本章第4.2.1项规定的投标截止时间前，投标人可以修改或撤回已递交的投标文件，但应以书面形式通知招标人。</w:t>
      </w:r>
    </w:p>
    <w:p w14:paraId="59CFC6B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4.3.2 投标人修改或撤回已递交投标文件的书面通知应按照本章第3.7.3项的要求签字或盖章。招标人收到书面通知后，向投标人出具签收凭证。</w:t>
      </w:r>
    </w:p>
    <w:p w14:paraId="130870B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4.3.3 修改的内容为投标文件的组成部分。修改的投标文件应按照本章第3条、第4条规定进行编制、密封、标记和递交，并标明“修改”字样。</w:t>
      </w:r>
    </w:p>
    <w:p w14:paraId="45D9FD51">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31" w:name="_Toc200513157"/>
      <w:bookmarkStart w:id="132" w:name="_Toc1489"/>
      <w:bookmarkStart w:id="133" w:name="_Toc317863452"/>
      <w:bookmarkStart w:id="134" w:name="_Toc334774193"/>
      <w:bookmarkStart w:id="135" w:name="_Toc531594762"/>
      <w:r>
        <w:rPr>
          <w:rFonts w:ascii="Times New Roman" w:hAnsi="Times New Roman" w:eastAsia="方正楷体_GBK" w:cs="Times New Roman"/>
          <w:b/>
          <w:w w:val="99"/>
          <w:kern w:val="0"/>
          <w:sz w:val="21"/>
          <w:szCs w:val="21"/>
          <w:highlight w:val="none"/>
          <w:lang w:val="zh-CN"/>
        </w:rPr>
        <w:t>5.开标</w:t>
      </w:r>
      <w:bookmarkEnd w:id="131"/>
      <w:bookmarkEnd w:id="132"/>
      <w:bookmarkEnd w:id="133"/>
      <w:bookmarkEnd w:id="134"/>
      <w:r>
        <w:rPr>
          <w:rFonts w:ascii="Times New Roman" w:hAnsi="Times New Roman" w:eastAsia="方正楷体_GBK" w:cs="Times New Roman"/>
          <w:b/>
          <w:w w:val="99"/>
          <w:kern w:val="0"/>
          <w:sz w:val="21"/>
          <w:szCs w:val="21"/>
          <w:highlight w:val="none"/>
          <w:lang w:val="zh-CN"/>
        </w:rPr>
        <w:t>时间及地点</w:t>
      </w:r>
      <w:bookmarkEnd w:id="135"/>
    </w:p>
    <w:p w14:paraId="56D7F3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36" w:name="_Toc531594763"/>
      <w:r>
        <w:rPr>
          <w:rFonts w:ascii="Times New Roman" w:hAnsi="Times New Roman" w:eastAsia="方正仿宋_GBK" w:cs="Times New Roman"/>
          <w:kern w:val="0"/>
          <w:sz w:val="21"/>
          <w:szCs w:val="21"/>
          <w:highlight w:val="none"/>
        </w:rPr>
        <w:t>开标时间及地点见投标人需知前附表</w:t>
      </w:r>
      <w:bookmarkEnd w:id="136"/>
    </w:p>
    <w:p w14:paraId="35A6597C">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37" w:name="_Toc531594764"/>
      <w:r>
        <w:rPr>
          <w:rFonts w:ascii="Times New Roman" w:hAnsi="Times New Roman" w:eastAsia="方正楷体_GBK" w:cs="Times New Roman"/>
          <w:b/>
          <w:w w:val="99"/>
          <w:kern w:val="0"/>
          <w:sz w:val="21"/>
          <w:szCs w:val="21"/>
          <w:highlight w:val="none"/>
          <w:lang w:val="zh-CN"/>
        </w:rPr>
        <w:t>6.评标</w:t>
      </w:r>
      <w:bookmarkEnd w:id="137"/>
    </w:p>
    <w:p w14:paraId="49C3C2E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38" w:name="_Toc200513161"/>
      <w:bookmarkStart w:id="139" w:name="_Toc317863456"/>
      <w:bookmarkStart w:id="140" w:name="_Toc334774197"/>
      <w:bookmarkStart w:id="141" w:name="_Toc531594765"/>
      <w:bookmarkStart w:id="142" w:name="_Toc325636614"/>
      <w:bookmarkStart w:id="143" w:name="_Toc16186"/>
      <w:r>
        <w:rPr>
          <w:rFonts w:ascii="Times New Roman" w:hAnsi="Times New Roman" w:eastAsia="方正仿宋_GBK" w:cs="Times New Roman"/>
          <w:b/>
          <w:kern w:val="0"/>
          <w:sz w:val="21"/>
          <w:szCs w:val="21"/>
          <w:highlight w:val="none"/>
        </w:rPr>
        <w:t>6.1 评标委员会</w:t>
      </w:r>
      <w:bookmarkEnd w:id="138"/>
      <w:bookmarkEnd w:id="139"/>
      <w:bookmarkEnd w:id="140"/>
      <w:bookmarkEnd w:id="141"/>
      <w:bookmarkEnd w:id="142"/>
      <w:bookmarkEnd w:id="143"/>
    </w:p>
    <w:p w14:paraId="76194ED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6.1.1 评标由招标人依法组建的评标委员会负责。评标委员会成员的确定方式见投标人须知前附表。</w:t>
      </w:r>
    </w:p>
    <w:p w14:paraId="43F190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6.1.2 评标委员会成员有下列情形之一的，应当回避：</w:t>
      </w:r>
    </w:p>
    <w:p w14:paraId="2542546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6.1.2.1 招标人或投标人的主要负责人的近亲属；</w:t>
      </w:r>
    </w:p>
    <w:p w14:paraId="7CACA03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6.1.2.2 项目主管部门或者行政监督部门的人员；</w:t>
      </w:r>
    </w:p>
    <w:p w14:paraId="058B9C6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6.1.2.3 与投标人有经济利益关系，可能影响对投标公正评审的；</w:t>
      </w:r>
    </w:p>
    <w:p w14:paraId="57FAD77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kern w:val="0"/>
          <w:sz w:val="21"/>
          <w:szCs w:val="21"/>
          <w:highlight w:val="none"/>
        </w:rPr>
        <w:t>6.1.2.4 曾因在招标、评标以及其他与招标投标有关活动中从事违法行为而受过行政处罚或刑事处</w:t>
      </w:r>
      <w:r>
        <w:rPr>
          <w:rFonts w:ascii="Times New Roman" w:hAnsi="Times New Roman" w:eastAsia="方正仿宋_GBK" w:cs="Times New Roman"/>
          <w:color w:val="auto"/>
          <w:kern w:val="0"/>
          <w:sz w:val="21"/>
          <w:szCs w:val="21"/>
          <w:highlight w:val="none"/>
        </w:rPr>
        <w:t>罚的。</w:t>
      </w:r>
    </w:p>
    <w:p w14:paraId="4E7774E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44" w:name="_Toc325636615"/>
      <w:bookmarkStart w:id="145" w:name="_Toc334774198"/>
      <w:bookmarkStart w:id="146" w:name="_Toc18631"/>
      <w:bookmarkStart w:id="147" w:name="_Toc317863457"/>
      <w:bookmarkStart w:id="148" w:name="_Toc200513162"/>
      <w:bookmarkStart w:id="149" w:name="_Toc531594766"/>
      <w:r>
        <w:rPr>
          <w:rFonts w:ascii="Times New Roman" w:hAnsi="Times New Roman" w:eastAsia="方正仿宋_GBK" w:cs="Times New Roman"/>
          <w:b/>
          <w:color w:val="auto"/>
          <w:kern w:val="0"/>
          <w:sz w:val="21"/>
          <w:szCs w:val="21"/>
          <w:highlight w:val="none"/>
        </w:rPr>
        <w:t>6.2 评标原则</w:t>
      </w:r>
      <w:bookmarkEnd w:id="144"/>
      <w:bookmarkEnd w:id="145"/>
      <w:bookmarkEnd w:id="146"/>
      <w:bookmarkEnd w:id="147"/>
      <w:bookmarkEnd w:id="148"/>
      <w:bookmarkEnd w:id="149"/>
    </w:p>
    <w:p w14:paraId="4F45816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见招标文件第四章</w:t>
      </w:r>
      <w:r>
        <w:rPr>
          <w:rFonts w:ascii="Times New Roman" w:hAnsi="Times New Roman" w:eastAsia="方正仿宋_GBK" w:cs="Times New Roman"/>
          <w:color w:val="auto"/>
          <w:kern w:val="0"/>
          <w:sz w:val="21"/>
          <w:szCs w:val="21"/>
          <w:highlight w:val="none"/>
        </w:rPr>
        <w:t>；</w:t>
      </w:r>
    </w:p>
    <w:p w14:paraId="0027B08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6.3 评标</w:t>
      </w:r>
    </w:p>
    <w:p w14:paraId="0DAC6E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评标委员会按照第四章“评标原则”规定的方法、评审因素、标准和程序对投标文件进行评审。</w:t>
      </w:r>
    </w:p>
    <w:p w14:paraId="2B0DADF2">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50" w:name="_Toc334774200"/>
      <w:bookmarkStart w:id="151" w:name="_Toc317863459"/>
      <w:bookmarkStart w:id="152" w:name="_Toc531594767"/>
      <w:bookmarkStart w:id="153" w:name="_Toc5106"/>
      <w:r>
        <w:rPr>
          <w:rFonts w:ascii="Times New Roman" w:hAnsi="Times New Roman" w:eastAsia="方正楷体_GBK" w:cs="Times New Roman"/>
          <w:b/>
          <w:color w:val="auto"/>
          <w:w w:val="99"/>
          <w:kern w:val="0"/>
          <w:sz w:val="21"/>
          <w:szCs w:val="21"/>
          <w:highlight w:val="none"/>
          <w:lang w:val="zh-CN"/>
        </w:rPr>
        <w:t>7.合同授予</w:t>
      </w:r>
      <w:bookmarkEnd w:id="150"/>
      <w:bookmarkEnd w:id="151"/>
      <w:bookmarkEnd w:id="152"/>
      <w:bookmarkEnd w:id="153"/>
    </w:p>
    <w:p w14:paraId="46D6DCF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54" w:name="_Toc200513165"/>
      <w:bookmarkStart w:id="155" w:name="_Toc334774201"/>
      <w:bookmarkStart w:id="156" w:name="_Toc22299"/>
      <w:bookmarkStart w:id="157" w:name="_Toc531594768"/>
      <w:bookmarkStart w:id="158" w:name="_Toc317863460"/>
      <w:bookmarkStart w:id="159" w:name="_Toc325636618"/>
      <w:r>
        <w:rPr>
          <w:rFonts w:ascii="Times New Roman" w:hAnsi="Times New Roman" w:eastAsia="方正仿宋_GBK" w:cs="Times New Roman"/>
          <w:b/>
          <w:color w:val="auto"/>
          <w:kern w:val="0"/>
          <w:sz w:val="21"/>
          <w:szCs w:val="21"/>
          <w:highlight w:val="none"/>
        </w:rPr>
        <w:t>7.1 定标方式</w:t>
      </w:r>
      <w:bookmarkEnd w:id="154"/>
      <w:bookmarkEnd w:id="155"/>
      <w:bookmarkEnd w:id="156"/>
      <w:bookmarkEnd w:id="157"/>
      <w:bookmarkEnd w:id="158"/>
      <w:bookmarkEnd w:id="159"/>
    </w:p>
    <w:p w14:paraId="3BE7905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除投标人须知前附表规定评标委员会直接确定中标人外，招标人依据评标委员会推荐的中标候选人确定中标人，评标委员会推荐中标候选人的人数见投标人须知前附表。</w:t>
      </w:r>
    </w:p>
    <w:p w14:paraId="3D989A8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60" w:name="_Toc531594769"/>
      <w:bookmarkStart w:id="161" w:name="_Toc325636619"/>
      <w:bookmarkStart w:id="162" w:name="_Toc317863461"/>
      <w:bookmarkStart w:id="163" w:name="_Toc334774202"/>
      <w:bookmarkStart w:id="164" w:name="_Toc19729"/>
      <w:bookmarkStart w:id="165" w:name="_Toc200513166"/>
      <w:r>
        <w:rPr>
          <w:rFonts w:ascii="Times New Roman" w:hAnsi="Times New Roman" w:eastAsia="方正仿宋_GBK" w:cs="Times New Roman"/>
          <w:b/>
          <w:color w:val="auto"/>
          <w:kern w:val="0"/>
          <w:sz w:val="21"/>
          <w:szCs w:val="21"/>
          <w:highlight w:val="none"/>
        </w:rPr>
        <w:t>7.2 中标通知</w:t>
      </w:r>
      <w:bookmarkEnd w:id="160"/>
      <w:bookmarkEnd w:id="161"/>
      <w:bookmarkEnd w:id="162"/>
      <w:bookmarkEnd w:id="163"/>
      <w:bookmarkEnd w:id="164"/>
      <w:bookmarkEnd w:id="165"/>
    </w:p>
    <w:p w14:paraId="226C960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在本章第 3.3 款规定的投标有效期内，招标人以</w:t>
      </w:r>
      <w:r>
        <w:rPr>
          <w:rFonts w:hint="eastAsia" w:ascii="Times New Roman" w:hAnsi="Times New Roman" w:eastAsia="方正仿宋_GBK" w:cs="Times New Roman"/>
          <w:color w:val="auto"/>
          <w:kern w:val="0"/>
          <w:sz w:val="21"/>
          <w:szCs w:val="21"/>
          <w:highlight w:val="none"/>
          <w:lang w:eastAsia="zh-CN"/>
        </w:rPr>
        <w:t>书面</w:t>
      </w:r>
      <w:r>
        <w:rPr>
          <w:rFonts w:ascii="Times New Roman" w:hAnsi="Times New Roman" w:eastAsia="方正仿宋_GBK" w:cs="Times New Roman"/>
          <w:color w:val="auto"/>
          <w:kern w:val="0"/>
          <w:sz w:val="21"/>
          <w:szCs w:val="21"/>
          <w:highlight w:val="none"/>
        </w:rPr>
        <w:t>的形式向中标人发出中标通知书。</w:t>
      </w:r>
    </w:p>
    <w:p w14:paraId="3AC4E08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66" w:name="_Toc334774203"/>
      <w:bookmarkStart w:id="167" w:name="_Toc531594770"/>
      <w:bookmarkStart w:id="168" w:name="_Toc317863463"/>
      <w:bookmarkStart w:id="169" w:name="_Toc325636621"/>
      <w:bookmarkStart w:id="170" w:name="_Toc9808"/>
      <w:r>
        <w:rPr>
          <w:rFonts w:ascii="Times New Roman" w:hAnsi="Times New Roman" w:eastAsia="方正仿宋_GBK" w:cs="Times New Roman"/>
          <w:b/>
          <w:color w:val="auto"/>
          <w:kern w:val="0"/>
          <w:sz w:val="21"/>
          <w:szCs w:val="21"/>
          <w:highlight w:val="none"/>
        </w:rPr>
        <w:t>7.3 签订合同</w:t>
      </w:r>
      <w:bookmarkEnd w:id="166"/>
      <w:bookmarkEnd w:id="167"/>
      <w:bookmarkEnd w:id="168"/>
      <w:bookmarkEnd w:id="169"/>
      <w:bookmarkEnd w:id="170"/>
    </w:p>
    <w:p w14:paraId="2DE6DEF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0D051CA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7.3.2 发出中标通知书后，招标人无正当理由拒签合同的，招标人向中标人退还投标保证金；给中标人造成损失的，还应当赔偿损失。</w:t>
      </w:r>
    </w:p>
    <w:p w14:paraId="1828E18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7.3.3 投标人中标后又提出对招标文件中各项条款的不实质性响应，经双方协商，在7.3.1条规定的时间内不能达成一致意见的，招标人有权取消其中标资格，并没收其投标保证金。</w:t>
      </w:r>
    </w:p>
    <w:p w14:paraId="735FB32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7.3.4 签订合同后，</w:t>
      </w:r>
      <w:r>
        <w:rPr>
          <w:rFonts w:hint="eastAsia" w:ascii="Times New Roman" w:hAnsi="Times New Roman" w:eastAsia="方正仿宋_GBK" w:cs="Times New Roman"/>
          <w:color w:val="auto"/>
          <w:kern w:val="0"/>
          <w:sz w:val="21"/>
          <w:szCs w:val="21"/>
          <w:highlight w:val="none"/>
          <w:lang w:val="en-US" w:eastAsia="zh-CN"/>
        </w:rPr>
        <w:t>中标人放弃中标权</w:t>
      </w:r>
      <w:r>
        <w:rPr>
          <w:rFonts w:ascii="Times New Roman" w:hAnsi="Times New Roman" w:eastAsia="方正仿宋_GBK" w:cs="Times New Roman"/>
          <w:color w:val="auto"/>
          <w:kern w:val="0"/>
          <w:sz w:val="21"/>
          <w:szCs w:val="21"/>
          <w:highlight w:val="none"/>
        </w:rPr>
        <w:t>或因自身原因（如资金不保证，设备、机具、劳动力等资源不保证,无法提交履约担保等等）不能履行合同，</w:t>
      </w:r>
      <w:r>
        <w:rPr>
          <w:rFonts w:hint="eastAsia" w:ascii="Times New Roman" w:hAnsi="Times New Roman" w:eastAsia="方正仿宋_GBK" w:cs="Times New Roman"/>
          <w:color w:val="auto"/>
          <w:kern w:val="0"/>
          <w:sz w:val="21"/>
          <w:szCs w:val="21"/>
          <w:highlight w:val="none"/>
        </w:rPr>
        <w:t>招</w:t>
      </w:r>
      <w:r>
        <w:rPr>
          <w:rFonts w:hint="eastAsia" w:ascii="Times New Roman" w:hAnsi="Times New Roman" w:eastAsia="方正仿宋_GBK" w:cs="Times New Roman"/>
          <w:kern w:val="0"/>
          <w:sz w:val="21"/>
          <w:szCs w:val="21"/>
          <w:highlight w:val="none"/>
        </w:rPr>
        <w:t>标</w:t>
      </w:r>
      <w:r>
        <w:rPr>
          <w:rFonts w:ascii="Times New Roman" w:hAnsi="Times New Roman" w:eastAsia="方正仿宋_GBK" w:cs="Times New Roman"/>
          <w:kern w:val="0"/>
          <w:sz w:val="21"/>
          <w:szCs w:val="21"/>
          <w:highlight w:val="none"/>
        </w:rPr>
        <w:t>人有权终止合同，并没收其投标保证金及</w:t>
      </w:r>
      <w:r>
        <w:rPr>
          <w:rFonts w:ascii="Times New Roman" w:hAnsi="Times New Roman" w:eastAsia="方正仿宋_GBK" w:cs="Times New Roman"/>
          <w:color w:val="auto"/>
          <w:kern w:val="0"/>
          <w:sz w:val="21"/>
          <w:szCs w:val="21"/>
          <w:highlight w:val="none"/>
        </w:rPr>
        <w:t>履约保证金。</w:t>
      </w:r>
    </w:p>
    <w:p w14:paraId="2121F4F6">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71" w:name="_Toc15584"/>
      <w:bookmarkStart w:id="172" w:name="_Toc334774204"/>
      <w:bookmarkStart w:id="173" w:name="_Toc531594771"/>
      <w:bookmarkStart w:id="174" w:name="_Toc317863464"/>
      <w:r>
        <w:rPr>
          <w:rFonts w:ascii="Times New Roman" w:hAnsi="Times New Roman" w:eastAsia="方正楷体_GBK" w:cs="Times New Roman"/>
          <w:b/>
          <w:color w:val="auto"/>
          <w:w w:val="99"/>
          <w:kern w:val="0"/>
          <w:sz w:val="21"/>
          <w:szCs w:val="21"/>
          <w:highlight w:val="none"/>
          <w:lang w:val="zh-CN"/>
        </w:rPr>
        <w:t>8.重新招标和不再招标</w:t>
      </w:r>
    </w:p>
    <w:p w14:paraId="3E2C4B9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8.1 重新招标</w:t>
      </w:r>
    </w:p>
    <w:p w14:paraId="6C0F626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有下列情形之一的，招标人将重新招标</w:t>
      </w:r>
    </w:p>
    <w:p w14:paraId="412B6A0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default"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（1）</w:t>
      </w:r>
      <w:r>
        <w:rPr>
          <w:rFonts w:hint="default" w:ascii="Times New Roman" w:hAnsi="Times New Roman" w:eastAsia="方正仿宋_GBK" w:cs="Times New Roman"/>
          <w:color w:val="auto"/>
          <w:kern w:val="0"/>
          <w:sz w:val="21"/>
          <w:szCs w:val="21"/>
          <w:highlight w:val="none"/>
          <w:lang w:val="en-US" w:eastAsia="zh-CN"/>
        </w:rPr>
        <w:t>投标截止时间止，投标人少于三个的；</w:t>
      </w:r>
    </w:p>
    <w:p w14:paraId="4B4C0F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（2）评标后合格的投标人少于三个的。</w:t>
      </w:r>
    </w:p>
    <w:p w14:paraId="7F2B1D6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黑体_GBK" w:cs="Times New Roman"/>
          <w:b/>
          <w:color w:val="auto"/>
          <w:kern w:val="0"/>
          <w:sz w:val="21"/>
          <w:szCs w:val="21"/>
          <w:highlight w:val="none"/>
          <w:lang w:val="zh-CN"/>
        </w:rPr>
      </w:pPr>
      <w:r>
        <w:rPr>
          <w:rFonts w:ascii="Times New Roman" w:hAnsi="Times New Roman" w:eastAsia="方正仿宋_GBK" w:cs="Times New Roman"/>
          <w:b/>
          <w:color w:val="auto"/>
          <w:kern w:val="0"/>
          <w:sz w:val="21"/>
          <w:szCs w:val="21"/>
          <w:highlight w:val="none"/>
        </w:rPr>
        <w:t>8.2 不再招标</w:t>
      </w:r>
    </w:p>
    <w:p w14:paraId="08FC694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若调整采购需求重新招标仍然失败的，可以采用竞争性谈判或单一来源的方式执行本项目。</w:t>
      </w:r>
    </w:p>
    <w:bookmarkEnd w:id="171"/>
    <w:bookmarkEnd w:id="172"/>
    <w:bookmarkEnd w:id="173"/>
    <w:bookmarkEnd w:id="174"/>
    <w:p w14:paraId="77A44DBE">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75" w:name="_Toc531594773"/>
      <w:bookmarkStart w:id="176" w:name="_Toc317863467"/>
      <w:bookmarkStart w:id="177" w:name="_Toc334774207"/>
      <w:bookmarkStart w:id="178" w:name="_Toc200513172"/>
      <w:bookmarkStart w:id="179" w:name="_Toc11895"/>
      <w:r>
        <w:rPr>
          <w:rFonts w:ascii="Times New Roman" w:hAnsi="Times New Roman" w:eastAsia="方正楷体_GBK" w:cs="Times New Roman"/>
          <w:b/>
          <w:color w:val="auto"/>
          <w:w w:val="99"/>
          <w:kern w:val="0"/>
          <w:sz w:val="21"/>
          <w:szCs w:val="21"/>
          <w:highlight w:val="none"/>
          <w:lang w:val="zh-CN"/>
        </w:rPr>
        <w:t>9.纪律和监督</w:t>
      </w:r>
      <w:bookmarkEnd w:id="175"/>
      <w:bookmarkEnd w:id="176"/>
      <w:bookmarkEnd w:id="177"/>
      <w:bookmarkEnd w:id="178"/>
      <w:bookmarkEnd w:id="179"/>
    </w:p>
    <w:p w14:paraId="75476C0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ascii="Times New Roman" w:hAnsi="Times New Roman" w:eastAsia="方正仿宋_GBK" w:cs="Times New Roman"/>
          <w:b/>
          <w:kern w:val="0"/>
          <w:sz w:val="21"/>
          <w:szCs w:val="21"/>
          <w:highlight w:val="none"/>
        </w:rPr>
      </w:pPr>
      <w:bookmarkStart w:id="180" w:name="_Toc334774208"/>
      <w:bookmarkStart w:id="181" w:name="_Toc200513173"/>
      <w:bookmarkStart w:id="182" w:name="_Toc531594774"/>
      <w:bookmarkStart w:id="183" w:name="_Toc325636626"/>
      <w:bookmarkStart w:id="184" w:name="_Toc1463"/>
      <w:bookmarkStart w:id="185" w:name="_Toc317863468"/>
      <w:r>
        <w:rPr>
          <w:rFonts w:ascii="Times New Roman" w:hAnsi="Times New Roman" w:eastAsia="方正仿宋_GBK" w:cs="Times New Roman"/>
          <w:b/>
          <w:kern w:val="0"/>
          <w:sz w:val="21"/>
          <w:szCs w:val="21"/>
          <w:highlight w:val="none"/>
        </w:rPr>
        <w:t>9.1 对招标人的纪律要求</w:t>
      </w:r>
      <w:bookmarkEnd w:id="180"/>
      <w:bookmarkEnd w:id="181"/>
      <w:bookmarkEnd w:id="182"/>
      <w:bookmarkEnd w:id="183"/>
      <w:bookmarkEnd w:id="184"/>
      <w:bookmarkEnd w:id="185"/>
    </w:p>
    <w:p w14:paraId="5007577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招标人不得泄漏招标投标活动中应当保密的情况和资料，不得与投标人串通损害国家利益、社会公共利益或者他人合法权益。</w:t>
      </w:r>
    </w:p>
    <w:p w14:paraId="44B3B99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86" w:name="_Toc325636627"/>
      <w:bookmarkStart w:id="187" w:name="_Toc334774209"/>
      <w:bookmarkStart w:id="188" w:name="_Toc317863469"/>
      <w:bookmarkStart w:id="189" w:name="_Toc200513174"/>
      <w:bookmarkStart w:id="190" w:name="_Toc531594775"/>
      <w:bookmarkStart w:id="191" w:name="_Toc270"/>
      <w:r>
        <w:rPr>
          <w:rFonts w:ascii="Times New Roman" w:hAnsi="Times New Roman" w:eastAsia="方正仿宋_GBK" w:cs="Times New Roman"/>
          <w:b/>
          <w:kern w:val="0"/>
          <w:sz w:val="21"/>
          <w:szCs w:val="21"/>
          <w:highlight w:val="none"/>
        </w:rPr>
        <w:t>9.2 对投标人的纪律要求</w:t>
      </w:r>
      <w:bookmarkEnd w:id="186"/>
      <w:bookmarkEnd w:id="187"/>
      <w:bookmarkEnd w:id="188"/>
      <w:bookmarkEnd w:id="189"/>
      <w:bookmarkEnd w:id="190"/>
      <w:bookmarkEnd w:id="191"/>
    </w:p>
    <w:p w14:paraId="3DE2A5C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AFE7C5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92" w:name="_Toc200513175"/>
      <w:bookmarkStart w:id="193" w:name="_Toc23543"/>
      <w:bookmarkStart w:id="194" w:name="_Toc325636628"/>
      <w:bookmarkStart w:id="195" w:name="_Toc334774210"/>
      <w:bookmarkStart w:id="196" w:name="_Toc531594776"/>
      <w:bookmarkStart w:id="197" w:name="_Toc317863470"/>
      <w:r>
        <w:rPr>
          <w:rFonts w:ascii="Times New Roman" w:hAnsi="Times New Roman" w:eastAsia="方正仿宋_GBK" w:cs="Times New Roman"/>
          <w:b/>
          <w:kern w:val="0"/>
          <w:sz w:val="21"/>
          <w:szCs w:val="21"/>
          <w:highlight w:val="none"/>
        </w:rPr>
        <w:t>9.3 对评标委员会成员的纪律要求</w:t>
      </w:r>
      <w:bookmarkEnd w:id="192"/>
      <w:bookmarkEnd w:id="193"/>
      <w:bookmarkEnd w:id="194"/>
      <w:bookmarkEnd w:id="195"/>
      <w:bookmarkEnd w:id="196"/>
      <w:bookmarkEnd w:id="197"/>
    </w:p>
    <w:p w14:paraId="4FF3EBA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5BA4DA7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98" w:name="_Toc334774211"/>
      <w:bookmarkStart w:id="199" w:name="_Toc200513176"/>
      <w:bookmarkStart w:id="200" w:name="_Toc18783"/>
      <w:bookmarkStart w:id="201" w:name="_Toc325636629"/>
      <w:bookmarkStart w:id="202" w:name="_Toc13285"/>
      <w:bookmarkStart w:id="203" w:name="_Toc317863471"/>
      <w:bookmarkStart w:id="204" w:name="_Toc531594777"/>
      <w:r>
        <w:rPr>
          <w:rFonts w:ascii="Times New Roman" w:hAnsi="Times New Roman" w:eastAsia="方正仿宋_GBK" w:cs="Times New Roman"/>
          <w:b/>
          <w:kern w:val="0"/>
          <w:sz w:val="21"/>
          <w:szCs w:val="21"/>
          <w:highlight w:val="none"/>
        </w:rPr>
        <w:t>9.4 对与评标活动有关的工作人员的纪律要求</w:t>
      </w:r>
      <w:bookmarkEnd w:id="198"/>
      <w:bookmarkEnd w:id="199"/>
      <w:bookmarkEnd w:id="200"/>
      <w:bookmarkEnd w:id="201"/>
      <w:bookmarkEnd w:id="202"/>
      <w:bookmarkEnd w:id="203"/>
      <w:bookmarkEnd w:id="204"/>
    </w:p>
    <w:p w14:paraId="5E5DA4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97AC9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05" w:name="_Toc334774212"/>
      <w:bookmarkStart w:id="206" w:name="_Toc13124"/>
      <w:bookmarkStart w:id="207" w:name="_Toc531594778"/>
      <w:bookmarkStart w:id="208" w:name="_Toc17360"/>
      <w:bookmarkStart w:id="209" w:name="_Toc317863472"/>
      <w:bookmarkStart w:id="210" w:name="_Toc200513177"/>
      <w:bookmarkStart w:id="211" w:name="_Toc325636630"/>
      <w:r>
        <w:rPr>
          <w:rFonts w:ascii="Times New Roman" w:hAnsi="Times New Roman" w:eastAsia="方正仿宋_GBK" w:cs="Times New Roman"/>
          <w:b/>
          <w:kern w:val="0"/>
          <w:sz w:val="21"/>
          <w:szCs w:val="21"/>
          <w:highlight w:val="none"/>
        </w:rPr>
        <w:t>9.5 投诉</w:t>
      </w:r>
      <w:bookmarkEnd w:id="205"/>
      <w:bookmarkEnd w:id="206"/>
      <w:bookmarkEnd w:id="207"/>
      <w:bookmarkEnd w:id="208"/>
      <w:bookmarkEnd w:id="209"/>
      <w:bookmarkEnd w:id="210"/>
      <w:bookmarkEnd w:id="211"/>
    </w:p>
    <w:p w14:paraId="069DEC7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投标人和其他利害关系人认为本次招标活动违反法律、法规和规章规定的，有权向学院有关行政监督部门投诉。</w:t>
      </w:r>
    </w:p>
    <w:p w14:paraId="73853CE9">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212" w:name="_Toc531594779"/>
      <w:bookmarkStart w:id="213" w:name="_Toc14201"/>
      <w:bookmarkStart w:id="214" w:name="_Toc334774213"/>
      <w:bookmarkStart w:id="215" w:name="_Toc6107"/>
      <w:r>
        <w:rPr>
          <w:rFonts w:ascii="Times New Roman" w:hAnsi="Times New Roman" w:eastAsia="方正楷体_GBK" w:cs="Times New Roman"/>
          <w:b/>
          <w:w w:val="99"/>
          <w:kern w:val="0"/>
          <w:sz w:val="21"/>
          <w:szCs w:val="21"/>
          <w:highlight w:val="none"/>
          <w:lang w:val="zh-CN"/>
        </w:rPr>
        <w:t>10.其他</w:t>
      </w:r>
      <w:bookmarkEnd w:id="212"/>
      <w:bookmarkEnd w:id="213"/>
      <w:bookmarkEnd w:id="214"/>
      <w:bookmarkEnd w:id="215"/>
    </w:p>
    <w:p w14:paraId="597EB2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其他补充内容要求见投标人需知内容和前附表。</w:t>
      </w:r>
    </w:p>
    <w:p w14:paraId="6CA11B81">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kern w:val="0"/>
          <w:sz w:val="32"/>
          <w:szCs w:val="32"/>
          <w:highlight w:val="none"/>
        </w:rPr>
      </w:pPr>
    </w:p>
    <w:p w14:paraId="7BA925C9">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kern w:val="0"/>
          <w:sz w:val="32"/>
          <w:szCs w:val="32"/>
          <w:highlight w:val="none"/>
        </w:rPr>
      </w:pPr>
    </w:p>
    <w:p w14:paraId="231B8F06">
      <w:pPr>
        <w:keepNext w:val="0"/>
        <w:keepLines w:val="0"/>
        <w:pageBreakBefore w:val="0"/>
        <w:widowControl w:val="0"/>
        <w:kinsoku/>
        <w:wordWrap/>
        <w:overflowPunct/>
        <w:topLinePunct w:val="0"/>
        <w:bidi w:val="0"/>
        <w:spacing w:line="240" w:lineRule="exact"/>
        <w:textAlignment w:val="auto"/>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br w:type="page"/>
      </w:r>
    </w:p>
    <w:p w14:paraId="04A98490">
      <w:pPr>
        <w:pStyle w:val="2"/>
        <w:numPr>
          <w:ilvl w:val="0"/>
          <w:numId w:val="0"/>
        </w:numPr>
        <w:spacing w:before="0" w:after="0" w:line="600" w:lineRule="exact"/>
        <w:ind w:firstLine="880" w:firstLineChars="200"/>
        <w:jc w:val="center"/>
        <w:rPr>
          <w:rFonts w:hint="default" w:ascii="Times New Roman" w:hAnsi="Times New Roman" w:eastAsia="方正小标宋_GBK" w:cs="Times New Roman"/>
        </w:rPr>
      </w:pPr>
      <w:bookmarkStart w:id="216" w:name="_Toc10725332"/>
      <w:bookmarkStart w:id="217" w:name="_第三章 招标数量及参数要求"/>
      <w:r>
        <w:rPr>
          <w:rFonts w:hint="default" w:ascii="Times New Roman" w:hAnsi="Times New Roman" w:eastAsia="方正小标宋_GBK" w:cs="Times New Roman"/>
        </w:rPr>
        <w:t>第三章 招标数量及参数要求</w:t>
      </w:r>
      <w:bookmarkEnd w:id="216"/>
    </w:p>
    <w:bookmarkEnd w:id="217"/>
    <w:p w14:paraId="5C707FB5"/>
    <w:p w14:paraId="39C9B4EE">
      <w:pPr>
        <w:spacing w:line="600" w:lineRule="exact"/>
        <w:jc w:val="left"/>
        <w:rPr>
          <w:rFonts w:ascii="Times New Roman" w:hAnsi="Times New Roman" w:eastAsia="方正黑体_GBK" w:cs="Times New Roman"/>
          <w:b/>
          <w:sz w:val="32"/>
          <w:szCs w:val="32"/>
        </w:rPr>
      </w:pPr>
      <w:r>
        <w:rPr>
          <w:rFonts w:ascii="Times New Roman" w:hAnsi="Times New Roman" w:eastAsia="方正黑体_GBK" w:cs="Times New Roman"/>
          <w:b/>
          <w:sz w:val="32"/>
          <w:szCs w:val="32"/>
        </w:rPr>
        <w:t>一、</w:t>
      </w:r>
      <w:r>
        <w:rPr>
          <w:rFonts w:hint="eastAsia" w:ascii="Times New Roman" w:hAnsi="Times New Roman" w:eastAsia="方正黑体_GBK" w:cs="Times New Roman"/>
          <w:b/>
          <w:sz w:val="32"/>
          <w:szCs w:val="32"/>
        </w:rPr>
        <w:t>项目名称及数量</w:t>
      </w:r>
    </w:p>
    <w:tbl>
      <w:tblPr>
        <w:tblStyle w:val="42"/>
        <w:tblW w:w="502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8"/>
        <w:gridCol w:w="4698"/>
        <w:gridCol w:w="1726"/>
        <w:gridCol w:w="1726"/>
      </w:tblGrid>
      <w:tr w14:paraId="199EA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8" w:type="pct"/>
            <w:tcBorders>
              <w:top w:val="single" w:color="000000" w:sz="4" w:space="0"/>
              <w:left w:val="single" w:color="000000" w:sz="4" w:space="0"/>
              <w:bottom w:val="single" w:color="000000" w:sz="4" w:space="0"/>
              <w:right w:val="single" w:color="000000" w:sz="4" w:space="0"/>
            </w:tcBorders>
            <w:vAlign w:val="center"/>
          </w:tcPr>
          <w:p w14:paraId="53AD6745">
            <w:pPr>
              <w:spacing w:line="360" w:lineRule="atLeast"/>
              <w:jc w:val="center"/>
              <w:rPr>
                <w:rFonts w:ascii="宋体" w:hAnsi="宋体" w:cs="宋体"/>
                <w:b/>
                <w:sz w:val="21"/>
                <w:szCs w:val="21"/>
              </w:rPr>
            </w:pPr>
            <w:r>
              <w:rPr>
                <w:rFonts w:hint="eastAsia" w:ascii="宋体" w:hAnsi="宋体" w:cs="宋体"/>
                <w:b/>
                <w:sz w:val="21"/>
                <w:szCs w:val="21"/>
              </w:rPr>
              <w:t>序号</w:t>
            </w:r>
          </w:p>
        </w:tc>
        <w:tc>
          <w:tcPr>
            <w:tcW w:w="2536" w:type="pct"/>
            <w:tcBorders>
              <w:top w:val="single" w:color="000000" w:sz="4" w:space="0"/>
              <w:left w:val="single" w:color="000000" w:sz="4" w:space="0"/>
              <w:bottom w:val="single" w:color="000000" w:sz="4" w:space="0"/>
              <w:right w:val="single" w:color="000000" w:sz="4" w:space="0"/>
            </w:tcBorders>
            <w:vAlign w:val="center"/>
          </w:tcPr>
          <w:p w14:paraId="212812BF">
            <w:pPr>
              <w:spacing w:line="360" w:lineRule="atLeast"/>
              <w:jc w:val="center"/>
              <w:rPr>
                <w:rFonts w:ascii="宋体" w:hAnsi="宋体" w:cs="宋体"/>
                <w:b/>
                <w:sz w:val="21"/>
                <w:szCs w:val="21"/>
              </w:rPr>
            </w:pPr>
            <w:r>
              <w:rPr>
                <w:rFonts w:hint="eastAsia" w:ascii="宋体" w:hAnsi="宋体" w:cs="宋体"/>
                <w:b/>
                <w:sz w:val="21"/>
                <w:szCs w:val="21"/>
              </w:rPr>
              <w:t>名称</w:t>
            </w:r>
          </w:p>
        </w:tc>
        <w:tc>
          <w:tcPr>
            <w:tcW w:w="932" w:type="pct"/>
            <w:tcBorders>
              <w:top w:val="single" w:color="000000" w:sz="4" w:space="0"/>
              <w:left w:val="single" w:color="000000" w:sz="4" w:space="0"/>
              <w:bottom w:val="single" w:color="000000" w:sz="4" w:space="0"/>
              <w:right w:val="single" w:color="auto" w:sz="4" w:space="0"/>
            </w:tcBorders>
            <w:vAlign w:val="center"/>
          </w:tcPr>
          <w:p w14:paraId="2F20E05E">
            <w:pPr>
              <w:spacing w:line="360" w:lineRule="atLeast"/>
              <w:jc w:val="center"/>
              <w:rPr>
                <w:rFonts w:ascii="宋体" w:hAnsi="宋体" w:cs="宋体"/>
                <w:b/>
                <w:sz w:val="21"/>
                <w:szCs w:val="21"/>
              </w:rPr>
            </w:pPr>
            <w:r>
              <w:rPr>
                <w:rFonts w:hint="eastAsia" w:ascii="宋体" w:hAnsi="宋体" w:cs="宋体"/>
                <w:b/>
                <w:sz w:val="21"/>
                <w:szCs w:val="21"/>
              </w:rPr>
              <w:t>数量</w:t>
            </w:r>
          </w:p>
        </w:tc>
        <w:tc>
          <w:tcPr>
            <w:tcW w:w="932" w:type="pct"/>
            <w:tcBorders>
              <w:top w:val="single" w:color="000000" w:sz="4" w:space="0"/>
              <w:left w:val="single" w:color="000000" w:sz="4" w:space="0"/>
              <w:bottom w:val="single" w:color="000000" w:sz="4" w:space="0"/>
              <w:right w:val="single" w:color="auto" w:sz="4" w:space="0"/>
            </w:tcBorders>
          </w:tcPr>
          <w:p w14:paraId="69141C5F">
            <w:pPr>
              <w:spacing w:line="360" w:lineRule="atLeast"/>
              <w:jc w:val="center"/>
              <w:rPr>
                <w:rFonts w:ascii="宋体" w:hAnsi="宋体" w:cs="宋体"/>
                <w:b/>
                <w:sz w:val="21"/>
                <w:szCs w:val="21"/>
              </w:rPr>
            </w:pPr>
            <w:r>
              <w:rPr>
                <w:rFonts w:hint="eastAsia" w:ascii="宋体" w:hAnsi="宋体" w:cs="宋体"/>
                <w:b/>
                <w:sz w:val="21"/>
                <w:szCs w:val="21"/>
              </w:rPr>
              <w:t>备注</w:t>
            </w:r>
          </w:p>
        </w:tc>
      </w:tr>
      <w:tr w14:paraId="61A76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98" w:type="pct"/>
            <w:tcBorders>
              <w:top w:val="single" w:color="000000" w:sz="4" w:space="0"/>
              <w:left w:val="single" w:color="000000" w:sz="4" w:space="0"/>
              <w:bottom w:val="single" w:color="000000" w:sz="4" w:space="0"/>
              <w:right w:val="single" w:color="000000" w:sz="4" w:space="0"/>
            </w:tcBorders>
            <w:vAlign w:val="center"/>
          </w:tcPr>
          <w:p w14:paraId="2E1DABD9">
            <w:pPr>
              <w:spacing w:line="360" w:lineRule="atLeast"/>
              <w:jc w:val="center"/>
              <w:rPr>
                <w:rFonts w:ascii="宋体" w:hAnsi="宋体" w:cs="宋体"/>
                <w:sz w:val="21"/>
                <w:szCs w:val="21"/>
              </w:rPr>
            </w:pPr>
            <w:r>
              <w:rPr>
                <w:rFonts w:hint="eastAsia" w:ascii="宋体" w:hAnsi="宋体" w:cs="宋体"/>
                <w:sz w:val="21"/>
                <w:szCs w:val="21"/>
              </w:rPr>
              <w:t>1</w:t>
            </w:r>
          </w:p>
        </w:tc>
        <w:tc>
          <w:tcPr>
            <w:tcW w:w="2536" w:type="pct"/>
            <w:tcBorders>
              <w:top w:val="single" w:color="000000" w:sz="4" w:space="0"/>
              <w:left w:val="single" w:color="000000" w:sz="4" w:space="0"/>
              <w:bottom w:val="single" w:color="000000" w:sz="4" w:space="0"/>
              <w:right w:val="single" w:color="000000" w:sz="4" w:space="0"/>
            </w:tcBorders>
            <w:vAlign w:val="center"/>
          </w:tcPr>
          <w:p w14:paraId="14BF8416">
            <w:pPr>
              <w:spacing w:line="360" w:lineRule="atLeast"/>
              <w:jc w:val="center"/>
              <w:rPr>
                <w:rFonts w:ascii="宋体" w:hAnsi="宋体" w:cs="宋体"/>
                <w:sz w:val="21"/>
                <w:szCs w:val="21"/>
              </w:rPr>
            </w:pPr>
            <w:r>
              <w:rPr>
                <w:rFonts w:hint="eastAsia" w:ascii="宋体" w:hAnsi="宋体" w:cs="宋体"/>
                <w:sz w:val="21"/>
                <w:szCs w:val="21"/>
              </w:rPr>
              <w:t>固定资产管理系统</w:t>
            </w:r>
          </w:p>
        </w:tc>
        <w:tc>
          <w:tcPr>
            <w:tcW w:w="932" w:type="pct"/>
            <w:tcBorders>
              <w:top w:val="single" w:color="000000" w:sz="4" w:space="0"/>
              <w:left w:val="single" w:color="000000" w:sz="4" w:space="0"/>
              <w:bottom w:val="single" w:color="000000" w:sz="4" w:space="0"/>
              <w:right w:val="single" w:color="auto" w:sz="4" w:space="0"/>
            </w:tcBorders>
            <w:vAlign w:val="center"/>
          </w:tcPr>
          <w:p w14:paraId="1E43C0CC">
            <w:pPr>
              <w:spacing w:line="360" w:lineRule="atLeast"/>
              <w:jc w:val="center"/>
              <w:rPr>
                <w:rFonts w:ascii="宋体" w:hAnsi="宋体" w:cs="宋体"/>
                <w:sz w:val="21"/>
                <w:szCs w:val="21"/>
              </w:rPr>
            </w:pPr>
            <w:r>
              <w:rPr>
                <w:rFonts w:hint="eastAsia" w:ascii="宋体" w:hAnsi="宋体" w:cs="宋体"/>
                <w:sz w:val="21"/>
                <w:szCs w:val="21"/>
              </w:rPr>
              <w:t>1套</w:t>
            </w:r>
          </w:p>
        </w:tc>
        <w:tc>
          <w:tcPr>
            <w:tcW w:w="932" w:type="pct"/>
            <w:tcBorders>
              <w:top w:val="single" w:color="000000" w:sz="4" w:space="0"/>
              <w:left w:val="single" w:color="000000" w:sz="4" w:space="0"/>
              <w:bottom w:val="single" w:color="000000" w:sz="4" w:space="0"/>
              <w:right w:val="single" w:color="auto" w:sz="4" w:space="0"/>
            </w:tcBorders>
          </w:tcPr>
          <w:p w14:paraId="7C6FA271">
            <w:pPr>
              <w:spacing w:line="360" w:lineRule="atLeast"/>
              <w:jc w:val="center"/>
              <w:rPr>
                <w:rFonts w:ascii="宋体" w:hAnsi="宋体" w:cs="宋体"/>
                <w:sz w:val="21"/>
                <w:szCs w:val="21"/>
              </w:rPr>
            </w:pPr>
          </w:p>
        </w:tc>
      </w:tr>
    </w:tbl>
    <w:p w14:paraId="6CABC308">
      <w:pPr>
        <w:spacing w:line="600" w:lineRule="exact"/>
        <w:jc w:val="left"/>
        <w:rPr>
          <w:rFonts w:hint="eastAsia" w:ascii="Times New Roman" w:hAnsi="Times New Roman" w:eastAsia="方正黑体_GBK" w:cs="Times New Roman"/>
          <w:b/>
          <w:sz w:val="32"/>
          <w:szCs w:val="32"/>
          <w:lang w:val="en-US" w:eastAsia="zh-CN"/>
        </w:rPr>
      </w:pPr>
    </w:p>
    <w:p w14:paraId="6EE1E97C">
      <w:pPr>
        <w:spacing w:line="600" w:lineRule="exact"/>
        <w:jc w:val="left"/>
        <w:rPr>
          <w:rFonts w:hint="eastAsia" w:ascii="Times New Roman" w:hAnsi="Times New Roman" w:eastAsia="方正黑体_GBK" w:cs="Times New Roman"/>
          <w:b/>
          <w:sz w:val="32"/>
          <w:szCs w:val="32"/>
          <w:lang w:val="en-US" w:eastAsia="zh-CN"/>
        </w:rPr>
      </w:pPr>
      <w:r>
        <w:rPr>
          <w:rFonts w:hint="eastAsia" w:ascii="Times New Roman" w:hAnsi="Times New Roman" w:eastAsia="方正黑体_GBK" w:cs="Times New Roman"/>
          <w:b/>
          <w:sz w:val="32"/>
          <w:szCs w:val="32"/>
          <w:lang w:val="en-US" w:eastAsia="zh-CN"/>
        </w:rPr>
        <w:t>二、建设范围：本次建设的固定资产管理系统需包含以下</w:t>
      </w:r>
    </w:p>
    <w:tbl>
      <w:tblPr>
        <w:tblStyle w:val="42"/>
        <w:tblW w:w="502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5"/>
        <w:gridCol w:w="8153"/>
      </w:tblGrid>
      <w:tr w14:paraId="79A23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7" w:type="pct"/>
            <w:tcBorders>
              <w:top w:val="single" w:color="000000" w:sz="4" w:space="0"/>
              <w:left w:val="single" w:color="000000" w:sz="4" w:space="0"/>
              <w:bottom w:val="single" w:color="000000" w:sz="4" w:space="0"/>
              <w:right w:val="single" w:color="000000" w:sz="4" w:space="0"/>
            </w:tcBorders>
            <w:vAlign w:val="center"/>
          </w:tcPr>
          <w:p w14:paraId="59F5DCB9">
            <w:pPr>
              <w:spacing w:line="360" w:lineRule="atLeast"/>
              <w:jc w:val="center"/>
              <w:rPr>
                <w:rFonts w:ascii="宋体" w:hAnsi="宋体" w:cs="宋体"/>
                <w:b/>
                <w:sz w:val="21"/>
                <w:szCs w:val="21"/>
              </w:rPr>
            </w:pPr>
            <w:r>
              <w:rPr>
                <w:rFonts w:hint="eastAsia" w:ascii="宋体" w:hAnsi="宋体" w:cs="宋体"/>
                <w:b/>
                <w:sz w:val="21"/>
                <w:szCs w:val="21"/>
              </w:rPr>
              <w:t>序号</w:t>
            </w:r>
          </w:p>
        </w:tc>
        <w:tc>
          <w:tcPr>
            <w:tcW w:w="4402" w:type="pct"/>
            <w:tcBorders>
              <w:top w:val="single" w:color="000000" w:sz="4" w:space="0"/>
              <w:left w:val="single" w:color="000000" w:sz="4" w:space="0"/>
              <w:bottom w:val="single" w:color="000000" w:sz="4" w:space="0"/>
              <w:right w:val="single" w:color="auto" w:sz="4" w:space="0"/>
            </w:tcBorders>
            <w:vAlign w:val="center"/>
          </w:tcPr>
          <w:p w14:paraId="529D5DCD">
            <w:pPr>
              <w:spacing w:line="360" w:lineRule="atLeast"/>
              <w:jc w:val="center"/>
              <w:rPr>
                <w:rFonts w:ascii="宋体" w:hAnsi="宋体" w:cs="宋体"/>
                <w:b/>
                <w:sz w:val="21"/>
                <w:szCs w:val="21"/>
              </w:rPr>
            </w:pPr>
            <w:r>
              <w:rPr>
                <w:rFonts w:hint="eastAsia" w:ascii="宋体" w:hAnsi="宋体" w:cs="宋体"/>
                <w:b/>
                <w:sz w:val="21"/>
                <w:szCs w:val="21"/>
                <w:lang w:eastAsia="zh-CN"/>
              </w:rPr>
              <w:t>核心模块及功能</w:t>
            </w:r>
          </w:p>
        </w:tc>
      </w:tr>
      <w:tr w14:paraId="4AA59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97" w:type="pct"/>
            <w:tcBorders>
              <w:top w:val="single" w:color="000000" w:sz="4" w:space="0"/>
              <w:left w:val="single" w:color="000000" w:sz="4" w:space="0"/>
              <w:bottom w:val="single" w:color="000000" w:sz="4" w:space="0"/>
              <w:right w:val="single" w:color="000000" w:sz="4" w:space="0"/>
            </w:tcBorders>
            <w:vAlign w:val="center"/>
          </w:tcPr>
          <w:p w14:paraId="06082ED9">
            <w:pPr>
              <w:spacing w:line="360" w:lineRule="atLeast"/>
              <w:jc w:val="center"/>
              <w:rPr>
                <w:rFonts w:ascii="宋体" w:hAnsi="宋体" w:cs="宋体"/>
                <w:sz w:val="21"/>
                <w:szCs w:val="21"/>
              </w:rPr>
            </w:pPr>
            <w:r>
              <w:rPr>
                <w:rFonts w:hint="eastAsia" w:ascii="宋体" w:hAnsi="宋体" w:cs="宋体"/>
                <w:sz w:val="21"/>
                <w:szCs w:val="21"/>
              </w:rPr>
              <w:t>1</w:t>
            </w:r>
          </w:p>
        </w:tc>
        <w:tc>
          <w:tcPr>
            <w:tcW w:w="4402" w:type="pct"/>
            <w:tcBorders>
              <w:top w:val="single" w:color="000000" w:sz="4" w:space="0"/>
              <w:left w:val="single" w:color="000000" w:sz="4" w:space="0"/>
              <w:bottom w:val="single" w:color="000000" w:sz="4" w:space="0"/>
              <w:right w:val="single" w:color="auto" w:sz="4" w:space="0"/>
            </w:tcBorders>
            <w:vAlign w:val="center"/>
          </w:tcPr>
          <w:p w14:paraId="1B338DCE">
            <w:pPr>
              <w:spacing w:line="360" w:lineRule="atLeast"/>
              <w:jc w:val="center"/>
              <w:rPr>
                <w:rFonts w:hint="eastAsia" w:ascii="宋体" w:hAnsi="宋体" w:cs="宋体"/>
                <w:sz w:val="21"/>
                <w:szCs w:val="21"/>
              </w:rPr>
            </w:pPr>
            <w:r>
              <w:rPr>
                <w:rFonts w:hint="eastAsia" w:ascii="宋体" w:hAnsi="宋体" w:cs="宋体"/>
                <w:sz w:val="21"/>
                <w:szCs w:val="21"/>
              </w:rPr>
              <w:t>固定资产管理系统</w:t>
            </w:r>
            <w:r>
              <w:rPr>
                <w:rFonts w:hint="eastAsia" w:ascii="宋体" w:hAnsi="宋体" w:cs="宋体"/>
                <w:sz w:val="21"/>
                <w:szCs w:val="21"/>
                <w:lang w:val="en-US" w:eastAsia="zh-CN"/>
              </w:rPr>
              <w:t>含全生命周期管理</w:t>
            </w:r>
          </w:p>
        </w:tc>
      </w:tr>
      <w:tr w14:paraId="388A0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97" w:type="pct"/>
            <w:tcBorders>
              <w:top w:val="single" w:color="000000" w:sz="4" w:space="0"/>
              <w:left w:val="single" w:color="000000" w:sz="4" w:space="0"/>
              <w:bottom w:val="single" w:color="000000" w:sz="4" w:space="0"/>
              <w:right w:val="single" w:color="000000" w:sz="4" w:space="0"/>
            </w:tcBorders>
            <w:vAlign w:val="center"/>
          </w:tcPr>
          <w:p w14:paraId="1F5CCA0D">
            <w:pPr>
              <w:spacing w:line="36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c>
          <w:tcPr>
            <w:tcW w:w="4402" w:type="pct"/>
            <w:tcBorders>
              <w:top w:val="single" w:color="000000" w:sz="4" w:space="0"/>
              <w:left w:val="single" w:color="000000" w:sz="4" w:space="0"/>
              <w:bottom w:val="single" w:color="000000" w:sz="4" w:space="0"/>
              <w:right w:val="single" w:color="auto" w:sz="4" w:space="0"/>
            </w:tcBorders>
            <w:vAlign w:val="center"/>
          </w:tcPr>
          <w:p w14:paraId="6AF6AD26">
            <w:pPr>
              <w:spacing w:line="360" w:lineRule="atLeast"/>
              <w:jc w:val="center"/>
              <w:rPr>
                <w:rFonts w:hint="eastAsia" w:ascii="宋体" w:hAnsi="宋体" w:cs="宋体"/>
                <w:sz w:val="21"/>
                <w:szCs w:val="21"/>
                <w:lang w:val="en-US" w:eastAsia="zh-CN"/>
              </w:rPr>
            </w:pPr>
            <w:r>
              <w:rPr>
                <w:rFonts w:hint="eastAsia" w:ascii="宋体" w:hAnsi="宋体" w:cs="宋体"/>
                <w:sz w:val="21"/>
                <w:szCs w:val="21"/>
              </w:rPr>
              <w:t>低值易耗品管理</w:t>
            </w:r>
          </w:p>
        </w:tc>
      </w:tr>
      <w:tr w14:paraId="2524F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97" w:type="pct"/>
            <w:tcBorders>
              <w:top w:val="single" w:color="000000" w:sz="4" w:space="0"/>
              <w:left w:val="single" w:color="000000" w:sz="4" w:space="0"/>
              <w:bottom w:val="single" w:color="000000" w:sz="4" w:space="0"/>
              <w:right w:val="single" w:color="000000" w:sz="4" w:space="0"/>
            </w:tcBorders>
            <w:vAlign w:val="center"/>
          </w:tcPr>
          <w:p w14:paraId="74B4789A">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3</w:t>
            </w:r>
          </w:p>
        </w:tc>
        <w:tc>
          <w:tcPr>
            <w:tcW w:w="4402" w:type="pct"/>
            <w:tcBorders>
              <w:top w:val="single" w:color="000000" w:sz="4" w:space="0"/>
              <w:left w:val="single" w:color="000000" w:sz="4" w:space="0"/>
              <w:bottom w:val="single" w:color="000000" w:sz="4" w:space="0"/>
              <w:right w:val="single" w:color="auto" w:sz="4" w:space="0"/>
            </w:tcBorders>
            <w:vAlign w:val="center"/>
          </w:tcPr>
          <w:p w14:paraId="2B30BA6B">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移动应用</w:t>
            </w:r>
          </w:p>
        </w:tc>
      </w:tr>
      <w:tr w14:paraId="63A21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97" w:type="pct"/>
            <w:tcBorders>
              <w:top w:val="single" w:color="000000" w:sz="4" w:space="0"/>
              <w:left w:val="single" w:color="000000" w:sz="4" w:space="0"/>
              <w:bottom w:val="single" w:color="000000" w:sz="4" w:space="0"/>
              <w:right w:val="single" w:color="000000" w:sz="4" w:space="0"/>
            </w:tcBorders>
            <w:vAlign w:val="center"/>
          </w:tcPr>
          <w:p w14:paraId="528D11CD">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4402" w:type="pct"/>
            <w:tcBorders>
              <w:top w:val="single" w:color="000000" w:sz="4" w:space="0"/>
              <w:left w:val="single" w:color="000000" w:sz="4" w:space="0"/>
              <w:bottom w:val="single" w:color="000000" w:sz="4" w:space="0"/>
              <w:right w:val="single" w:color="auto" w:sz="4" w:space="0"/>
            </w:tcBorders>
            <w:vAlign w:val="center"/>
          </w:tcPr>
          <w:p w14:paraId="4B3C708E">
            <w:pPr>
              <w:spacing w:line="360" w:lineRule="atLeast"/>
              <w:jc w:val="center"/>
              <w:rPr>
                <w:rFonts w:hint="eastAsia" w:ascii="宋体" w:hAnsi="宋体" w:cs="宋体"/>
                <w:sz w:val="21"/>
                <w:szCs w:val="21"/>
                <w:lang w:val="en-US" w:eastAsia="zh-CN"/>
              </w:rPr>
            </w:pPr>
            <w:r>
              <w:rPr>
                <w:rFonts w:hint="eastAsia" w:ascii="宋体" w:hAnsi="宋体" w:cs="宋体"/>
                <w:sz w:val="21"/>
                <w:szCs w:val="21"/>
                <w:lang w:val="en-US" w:eastAsia="zh-CN"/>
              </w:rPr>
              <w:t>系统集成（与金蝶财务系统对接）</w:t>
            </w:r>
          </w:p>
        </w:tc>
      </w:tr>
    </w:tbl>
    <w:p w14:paraId="3E4876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注：除上述核心模块外，投标方可根据自身产品优势及学校实际管理需求，对非核心功能或辅助模块进行合理调整与优化，但必须保证核心模块的完整性与对接要求。</w:t>
      </w:r>
    </w:p>
    <w:p w14:paraId="3684EE7E">
      <w:pPr>
        <w:widowControl/>
        <w:numPr>
          <w:ilvl w:val="0"/>
          <w:numId w:val="0"/>
        </w:numPr>
        <w:spacing w:line="520" w:lineRule="exact"/>
        <w:jc w:val="left"/>
        <w:rPr>
          <w:rFonts w:hint="eastAsia" w:ascii="Times New Roman" w:hAnsi="Times New Roman" w:eastAsia="方正仿宋_GBK" w:cs="方正仿宋_GBK"/>
          <w:b w:val="0"/>
          <w:bCs w:val="0"/>
          <w:sz w:val="32"/>
          <w:szCs w:val="32"/>
          <w:lang w:val="en-US" w:eastAsia="zh-CN"/>
        </w:rPr>
      </w:pPr>
    </w:p>
    <w:p w14:paraId="2CB98FE0">
      <w:pPr>
        <w:widowControl/>
        <w:spacing w:line="520" w:lineRule="exact"/>
        <w:jc w:val="left"/>
        <w:rPr>
          <w:rFonts w:hint="eastAsia" w:ascii="Times New Roman" w:hAnsi="Times New Roman" w:eastAsia="方正黑体_GBK" w:cs="Times New Roman"/>
          <w:b/>
          <w:sz w:val="32"/>
          <w:szCs w:val="32"/>
        </w:rPr>
      </w:pPr>
      <w:r>
        <w:rPr>
          <w:rFonts w:hint="eastAsia" w:ascii="Times New Roman" w:hAnsi="Times New Roman" w:eastAsia="方正黑体_GBK" w:cs="Times New Roman"/>
          <w:b/>
          <w:sz w:val="32"/>
          <w:szCs w:val="32"/>
          <w:lang w:eastAsia="zh-CN"/>
        </w:rPr>
        <w:t>三</w:t>
      </w:r>
      <w:r>
        <w:rPr>
          <w:rFonts w:hint="eastAsia" w:ascii="Times New Roman" w:hAnsi="Times New Roman" w:eastAsia="方正黑体_GBK" w:cs="Times New Roman"/>
          <w:b/>
          <w:sz w:val="32"/>
          <w:szCs w:val="32"/>
        </w:rPr>
        <w:t>、总体技术要求</w:t>
      </w:r>
    </w:p>
    <w:tbl>
      <w:tblPr>
        <w:tblStyle w:val="42"/>
        <w:tblW w:w="462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792"/>
        <w:gridCol w:w="7043"/>
      </w:tblGrid>
      <w:tr w14:paraId="30FA7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1" w:type="pct"/>
            <w:tcBorders>
              <w:top w:val="single" w:color="000000" w:sz="4" w:space="0"/>
              <w:left w:val="single" w:color="000000" w:sz="4" w:space="0"/>
              <w:bottom w:val="single" w:color="000000" w:sz="4" w:space="0"/>
              <w:right w:val="single" w:color="000000" w:sz="4" w:space="0"/>
            </w:tcBorders>
            <w:vAlign w:val="center"/>
          </w:tcPr>
          <w:p w14:paraId="257E5396">
            <w:pPr>
              <w:spacing w:line="520" w:lineRule="exact"/>
              <w:jc w:val="center"/>
              <w:rPr>
                <w:rFonts w:ascii="宋体" w:hAnsi="宋体" w:cs="宋体"/>
                <w:b/>
                <w:sz w:val="21"/>
                <w:szCs w:val="21"/>
              </w:rPr>
            </w:pPr>
            <w:r>
              <w:rPr>
                <w:rFonts w:hint="eastAsia" w:ascii="宋体" w:hAnsi="宋体" w:cs="宋体"/>
                <w:b/>
                <w:sz w:val="21"/>
                <w:szCs w:val="21"/>
              </w:rPr>
              <w:t>序号</w:t>
            </w:r>
          </w:p>
        </w:tc>
        <w:tc>
          <w:tcPr>
            <w:tcW w:w="464" w:type="pct"/>
            <w:tcBorders>
              <w:top w:val="single" w:color="000000" w:sz="4" w:space="0"/>
              <w:left w:val="single" w:color="000000" w:sz="4" w:space="0"/>
              <w:bottom w:val="single" w:color="000000" w:sz="4" w:space="0"/>
              <w:right w:val="single" w:color="000000" w:sz="4" w:space="0"/>
            </w:tcBorders>
            <w:vAlign w:val="center"/>
          </w:tcPr>
          <w:p w14:paraId="285EC176">
            <w:pPr>
              <w:spacing w:line="520" w:lineRule="exact"/>
              <w:jc w:val="center"/>
              <w:rPr>
                <w:rFonts w:ascii="宋体" w:hAnsi="宋体" w:cs="宋体"/>
                <w:b/>
                <w:sz w:val="21"/>
                <w:szCs w:val="21"/>
              </w:rPr>
            </w:pPr>
            <w:r>
              <w:rPr>
                <w:rFonts w:hint="eastAsia" w:ascii="宋体" w:hAnsi="宋体" w:cs="宋体"/>
                <w:b/>
                <w:sz w:val="21"/>
                <w:szCs w:val="21"/>
              </w:rPr>
              <w:t>名称</w:t>
            </w:r>
          </w:p>
        </w:tc>
        <w:tc>
          <w:tcPr>
            <w:tcW w:w="4133" w:type="pct"/>
            <w:tcBorders>
              <w:top w:val="single" w:color="000000" w:sz="4" w:space="0"/>
              <w:left w:val="single" w:color="000000" w:sz="4" w:space="0"/>
              <w:bottom w:val="single" w:color="000000" w:sz="4" w:space="0"/>
              <w:right w:val="single" w:color="auto" w:sz="4" w:space="0"/>
            </w:tcBorders>
            <w:vAlign w:val="center"/>
          </w:tcPr>
          <w:p w14:paraId="1E1910D1">
            <w:pPr>
              <w:spacing w:line="520" w:lineRule="exact"/>
              <w:jc w:val="center"/>
              <w:rPr>
                <w:rFonts w:ascii="宋体" w:hAnsi="宋体" w:cs="宋体"/>
                <w:b/>
                <w:sz w:val="21"/>
                <w:szCs w:val="21"/>
              </w:rPr>
            </w:pPr>
            <w:r>
              <w:rPr>
                <w:rFonts w:hint="eastAsia" w:ascii="宋体" w:hAnsi="宋体" w:cs="宋体"/>
                <w:b/>
                <w:sz w:val="21"/>
                <w:szCs w:val="21"/>
              </w:rPr>
              <w:t>技术参数</w:t>
            </w:r>
          </w:p>
        </w:tc>
      </w:tr>
      <w:tr w14:paraId="612DF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1" w:type="pct"/>
            <w:tcBorders>
              <w:top w:val="single" w:color="000000" w:sz="4" w:space="0"/>
              <w:left w:val="single" w:color="000000" w:sz="4" w:space="0"/>
              <w:bottom w:val="single" w:color="000000" w:sz="4" w:space="0"/>
              <w:right w:val="single" w:color="000000" w:sz="4" w:space="0"/>
            </w:tcBorders>
            <w:vAlign w:val="center"/>
          </w:tcPr>
          <w:p w14:paraId="598DE72E">
            <w:pPr>
              <w:spacing w:line="520" w:lineRule="exact"/>
              <w:jc w:val="center"/>
              <w:rPr>
                <w:rFonts w:hint="eastAsia" w:ascii="宋体" w:hAnsi="宋体" w:cs="宋体" w:eastAsiaTheme="minorEastAsia"/>
                <w:b/>
                <w:sz w:val="21"/>
                <w:szCs w:val="21"/>
                <w:lang w:val="en-US" w:eastAsia="zh-CN"/>
              </w:rPr>
            </w:pPr>
            <w:r>
              <w:rPr>
                <w:rFonts w:hint="eastAsia" w:ascii="宋体" w:hAnsi="宋体" w:cs="宋体"/>
                <w:b w:val="0"/>
                <w:bCs/>
                <w:sz w:val="21"/>
                <w:szCs w:val="21"/>
                <w:lang w:val="en-US" w:eastAsia="zh-CN"/>
              </w:rPr>
              <w:t>1</w:t>
            </w:r>
          </w:p>
        </w:tc>
        <w:tc>
          <w:tcPr>
            <w:tcW w:w="464" w:type="pct"/>
            <w:tcBorders>
              <w:top w:val="single" w:color="000000" w:sz="4" w:space="0"/>
              <w:left w:val="single" w:color="000000" w:sz="4" w:space="0"/>
              <w:bottom w:val="single" w:color="000000" w:sz="4" w:space="0"/>
              <w:right w:val="single" w:color="000000" w:sz="4" w:space="0"/>
            </w:tcBorders>
            <w:vAlign w:val="center"/>
          </w:tcPr>
          <w:p w14:paraId="3B127D91">
            <w:pPr>
              <w:spacing w:line="520" w:lineRule="exact"/>
              <w:jc w:val="center"/>
              <w:rPr>
                <w:rFonts w:hint="eastAsia" w:ascii="宋体" w:hAnsi="宋体" w:cs="宋体"/>
                <w:b/>
                <w:sz w:val="21"/>
                <w:szCs w:val="21"/>
              </w:rPr>
            </w:pPr>
            <w:r>
              <w:rPr>
                <w:rFonts w:hint="eastAsia" w:ascii="宋体" w:hAnsi="宋体" w:cs="宋体"/>
                <w:sz w:val="21"/>
                <w:szCs w:val="21"/>
              </w:rPr>
              <w:t>固定资产管理系统</w:t>
            </w:r>
          </w:p>
        </w:tc>
        <w:tc>
          <w:tcPr>
            <w:tcW w:w="4133" w:type="pct"/>
            <w:tcBorders>
              <w:top w:val="single" w:color="000000" w:sz="4" w:space="0"/>
              <w:left w:val="single" w:color="000000" w:sz="4" w:space="0"/>
              <w:bottom w:val="single" w:color="000000" w:sz="4" w:space="0"/>
              <w:right w:val="single" w:color="auto" w:sz="4" w:space="0"/>
            </w:tcBorders>
            <w:vAlign w:val="center"/>
          </w:tcPr>
          <w:p w14:paraId="3F63D020">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1．部署要求：系统必须采用本地化部署方式，所有应用服务器、数据库服务器均部署于学校数据中心。</w:t>
            </w:r>
          </w:p>
          <w:p w14:paraId="73C44CB4">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2．操作系统兼容性：支持国产操作系统及国产数据库，兼容 Windows、Linux 等主流操作系统。</w:t>
            </w:r>
          </w:p>
          <w:p w14:paraId="4820C0BA">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3．数据稳定安全性：具备完善的数据备份恢复机制与全量日志审计能力；支持 7×24 小时不间断运行，系统年可用性≥99.5%。</w:t>
            </w:r>
          </w:p>
        </w:tc>
      </w:tr>
    </w:tbl>
    <w:p w14:paraId="537812E0">
      <w:pPr>
        <w:keepNext w:val="0"/>
        <w:keepLines w:val="0"/>
        <w:widowControl/>
        <w:suppressLineNumbers w:val="0"/>
        <w:jc w:val="left"/>
        <w:rPr>
          <w:rFonts w:hint="default" w:ascii="宋体" w:hAnsi="宋体" w:eastAsia="宋体" w:cs="宋体"/>
          <w:kern w:val="0"/>
          <w:sz w:val="24"/>
          <w:szCs w:val="24"/>
          <w:lang w:val="en-US" w:eastAsia="zh-CN" w:bidi="ar"/>
        </w:rPr>
      </w:pPr>
    </w:p>
    <w:p w14:paraId="2B99C0F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黑体_GBK" w:cs="Times New Roman"/>
          <w:b/>
          <w:sz w:val="32"/>
          <w:szCs w:val="32"/>
          <w:lang w:eastAsia="zh-CN"/>
        </w:rPr>
        <w:t>四</w:t>
      </w:r>
      <w:r>
        <w:rPr>
          <w:rFonts w:hint="eastAsia" w:ascii="Times New Roman" w:hAnsi="Times New Roman" w:eastAsia="方正黑体_GBK" w:cs="Times New Roman"/>
          <w:b/>
          <w:sz w:val="32"/>
          <w:szCs w:val="32"/>
        </w:rPr>
        <w:t>、</w:t>
      </w:r>
      <w:r>
        <w:rPr>
          <w:rFonts w:hint="eastAsia" w:ascii="Times New Roman" w:hAnsi="Times New Roman" w:eastAsia="方正仿宋_GBK" w:cs="方正仿宋_GBK"/>
          <w:b/>
          <w:bCs/>
          <w:sz w:val="32"/>
          <w:szCs w:val="32"/>
          <w:lang w:eastAsia="zh-CN"/>
        </w:rPr>
        <w:t>核心功能要求</w:t>
      </w:r>
    </w:p>
    <w:p w14:paraId="6385B297">
      <w:pPr>
        <w:rPr>
          <w:rFonts w:ascii="Times New Roman" w:hAnsi="Times New Roman" w:eastAsia="方正小标宋_GBK" w:cs="Times New Roman"/>
          <w:highlight w:val="none"/>
        </w:rPr>
      </w:pPr>
    </w:p>
    <w:tbl>
      <w:tblPr>
        <w:tblStyle w:val="42"/>
        <w:tblW w:w="462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792"/>
        <w:gridCol w:w="7043"/>
      </w:tblGrid>
      <w:tr w14:paraId="7577F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1" w:type="pct"/>
            <w:tcBorders>
              <w:top w:val="single" w:color="000000" w:sz="4" w:space="0"/>
              <w:left w:val="single" w:color="000000" w:sz="4" w:space="0"/>
              <w:bottom w:val="single" w:color="000000" w:sz="4" w:space="0"/>
              <w:right w:val="single" w:color="000000" w:sz="4" w:space="0"/>
            </w:tcBorders>
            <w:vAlign w:val="center"/>
          </w:tcPr>
          <w:p w14:paraId="787183D0">
            <w:pPr>
              <w:spacing w:line="520" w:lineRule="exact"/>
              <w:jc w:val="center"/>
              <w:rPr>
                <w:rFonts w:ascii="宋体" w:hAnsi="宋体" w:cs="宋体"/>
                <w:b/>
                <w:sz w:val="21"/>
                <w:szCs w:val="21"/>
              </w:rPr>
            </w:pPr>
            <w:r>
              <w:rPr>
                <w:rFonts w:hint="eastAsia" w:ascii="宋体" w:hAnsi="宋体" w:cs="宋体"/>
                <w:b/>
                <w:sz w:val="21"/>
                <w:szCs w:val="21"/>
              </w:rPr>
              <w:t>序号</w:t>
            </w:r>
          </w:p>
        </w:tc>
        <w:tc>
          <w:tcPr>
            <w:tcW w:w="464" w:type="pct"/>
            <w:tcBorders>
              <w:top w:val="single" w:color="000000" w:sz="4" w:space="0"/>
              <w:left w:val="single" w:color="000000" w:sz="4" w:space="0"/>
              <w:bottom w:val="single" w:color="000000" w:sz="4" w:space="0"/>
              <w:right w:val="single" w:color="000000" w:sz="4" w:space="0"/>
            </w:tcBorders>
            <w:vAlign w:val="center"/>
          </w:tcPr>
          <w:p w14:paraId="7EE0FB6D">
            <w:pPr>
              <w:spacing w:line="520" w:lineRule="exact"/>
              <w:jc w:val="center"/>
              <w:rPr>
                <w:rFonts w:ascii="宋体" w:hAnsi="宋体" w:cs="宋体"/>
                <w:b/>
                <w:sz w:val="21"/>
                <w:szCs w:val="21"/>
              </w:rPr>
            </w:pPr>
            <w:r>
              <w:rPr>
                <w:rFonts w:hint="eastAsia" w:ascii="宋体" w:hAnsi="宋体" w:cs="宋体"/>
                <w:b/>
                <w:sz w:val="21"/>
                <w:szCs w:val="21"/>
              </w:rPr>
              <w:t>名称</w:t>
            </w:r>
          </w:p>
        </w:tc>
        <w:tc>
          <w:tcPr>
            <w:tcW w:w="4133" w:type="pct"/>
            <w:tcBorders>
              <w:top w:val="single" w:color="000000" w:sz="4" w:space="0"/>
              <w:left w:val="single" w:color="000000" w:sz="4" w:space="0"/>
              <w:bottom w:val="single" w:color="000000" w:sz="4" w:space="0"/>
              <w:right w:val="single" w:color="auto" w:sz="4" w:space="0"/>
            </w:tcBorders>
            <w:vAlign w:val="center"/>
          </w:tcPr>
          <w:p w14:paraId="5318816D">
            <w:pPr>
              <w:spacing w:line="520" w:lineRule="exact"/>
              <w:jc w:val="center"/>
              <w:rPr>
                <w:rFonts w:ascii="宋体" w:hAnsi="宋体" w:cs="宋体"/>
                <w:b/>
                <w:sz w:val="21"/>
                <w:szCs w:val="21"/>
              </w:rPr>
            </w:pPr>
            <w:r>
              <w:rPr>
                <w:rFonts w:hint="eastAsia" w:ascii="宋体" w:hAnsi="宋体" w:cs="宋体"/>
                <w:b/>
                <w:sz w:val="21"/>
                <w:szCs w:val="21"/>
              </w:rPr>
              <w:t>技术参数</w:t>
            </w:r>
          </w:p>
        </w:tc>
      </w:tr>
      <w:tr w14:paraId="38276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1" w:type="pct"/>
            <w:tcBorders>
              <w:top w:val="single" w:color="000000" w:sz="4" w:space="0"/>
              <w:left w:val="single" w:color="000000" w:sz="4" w:space="0"/>
              <w:bottom w:val="single" w:color="000000" w:sz="4" w:space="0"/>
              <w:right w:val="single" w:color="000000" w:sz="4" w:space="0"/>
            </w:tcBorders>
            <w:vAlign w:val="center"/>
          </w:tcPr>
          <w:p w14:paraId="3FA895E7">
            <w:pPr>
              <w:spacing w:line="520" w:lineRule="exact"/>
              <w:jc w:val="center"/>
              <w:rPr>
                <w:rFonts w:hint="eastAsia" w:ascii="宋体" w:hAnsi="宋体" w:cs="宋体" w:eastAsiaTheme="minorEastAsia"/>
                <w:b/>
                <w:sz w:val="21"/>
                <w:szCs w:val="21"/>
                <w:lang w:val="en-US" w:eastAsia="zh-CN"/>
              </w:rPr>
            </w:pPr>
            <w:r>
              <w:rPr>
                <w:rFonts w:hint="eastAsia" w:ascii="宋体" w:hAnsi="宋体" w:cs="宋体"/>
                <w:b w:val="0"/>
                <w:bCs/>
                <w:sz w:val="21"/>
                <w:szCs w:val="21"/>
                <w:lang w:val="en-US" w:eastAsia="zh-CN"/>
              </w:rPr>
              <w:t>1</w:t>
            </w:r>
          </w:p>
        </w:tc>
        <w:tc>
          <w:tcPr>
            <w:tcW w:w="464" w:type="pct"/>
            <w:tcBorders>
              <w:top w:val="single" w:color="000000" w:sz="4" w:space="0"/>
              <w:left w:val="single" w:color="000000" w:sz="4" w:space="0"/>
              <w:bottom w:val="single" w:color="000000" w:sz="4" w:space="0"/>
              <w:right w:val="single" w:color="000000" w:sz="4" w:space="0"/>
            </w:tcBorders>
            <w:vAlign w:val="center"/>
          </w:tcPr>
          <w:p w14:paraId="55484CFC">
            <w:pPr>
              <w:spacing w:line="520" w:lineRule="exact"/>
              <w:jc w:val="center"/>
              <w:rPr>
                <w:rFonts w:hint="eastAsia" w:ascii="宋体" w:hAnsi="宋体" w:cs="宋体"/>
                <w:b/>
                <w:sz w:val="21"/>
                <w:szCs w:val="21"/>
              </w:rPr>
            </w:pPr>
            <w:r>
              <w:rPr>
                <w:rFonts w:hint="eastAsia" w:ascii="宋体" w:hAnsi="宋体" w:cs="宋体"/>
                <w:sz w:val="21"/>
                <w:szCs w:val="21"/>
              </w:rPr>
              <w:t>固定资产管理系统</w:t>
            </w:r>
          </w:p>
        </w:tc>
        <w:tc>
          <w:tcPr>
            <w:tcW w:w="4133" w:type="pct"/>
            <w:tcBorders>
              <w:top w:val="single" w:color="000000" w:sz="4" w:space="0"/>
              <w:left w:val="single" w:color="000000" w:sz="4" w:space="0"/>
              <w:bottom w:val="single" w:color="000000" w:sz="4" w:space="0"/>
              <w:right w:val="single" w:color="auto" w:sz="4" w:space="0"/>
            </w:tcBorders>
            <w:vAlign w:val="center"/>
          </w:tcPr>
          <w:p w14:paraId="64E856A2">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（一）固定资产管理系统（全生命周期）</w:t>
            </w:r>
          </w:p>
          <w:p w14:paraId="2FE37C59">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1．资产建账（入库）</w:t>
            </w:r>
          </w:p>
          <w:p w14:paraId="743E9290">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（1）同步教育部16大类及无形资产的入库，提供各类资产对应的分类属性管理；</w:t>
            </w:r>
          </w:p>
          <w:p w14:paraId="40E59EB5">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（2）资产建账审核通过后，系统自动生成推送数据，通过接口发送至金蝶财务系统，触发财务入账流程。金蝶入账成功后，返回凭证号至资产系统进行回写；</w:t>
            </w:r>
          </w:p>
          <w:p w14:paraId="0183253A">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（3）支持上传合同、发票、实物图等附件；</w:t>
            </w:r>
          </w:p>
          <w:p w14:paraId="48C27EB5">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（4）支持二维码标签的自定义设计与批量打印。</w:t>
            </w:r>
          </w:p>
          <w:p w14:paraId="3869B63A">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2．资产调拨：支持使用单位、使用人、存放地点、单价、资产分类等属性的变动管理。</w:t>
            </w:r>
          </w:p>
          <w:p w14:paraId="05564A35">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3．资产价值变动：支持资产价值增减变动；变动信息自动推送至金蝶财务系统，财务审核通过后返回凭证号进行回写。</w:t>
            </w:r>
          </w:p>
          <w:p w14:paraId="2E6997F9">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4．资产处置</w:t>
            </w:r>
          </w:p>
          <w:p w14:paraId="06679CCC">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（1）支持报废、报失、捐赠、置换等多种处置方式的线上申请与审批；</w:t>
            </w:r>
          </w:p>
          <w:p w14:paraId="341F4E8C">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（2）处置申请支持上传相关证明材料，可根据使用年限进行自动校验；</w:t>
            </w:r>
          </w:p>
          <w:p w14:paraId="235A53B6">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（3）处置审批完成后，自动推送处置信息至金蝶系统，生成“资产减少单”，完成财务下账。</w:t>
            </w:r>
          </w:p>
          <w:p w14:paraId="641E5DD2">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5．资产闲置调剂：建立闲置资产调剂列表，支持闲置资产的统计、申请、领用全流程线上管理，提供资产盘活利用情况统计报表。</w:t>
            </w:r>
          </w:p>
          <w:p w14:paraId="7CA46906">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6．资产查询及报表：支持多条件的自定义查询统计功能；提供资产变化情况表、汇总报表、资产明细表等报表，支持报表。</w:t>
            </w:r>
          </w:p>
          <w:p w14:paraId="10FA16A6">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7．数据上报：支持自动生成教育部等上级部门要求的数据报表，能直接导出excel表格上报。</w:t>
            </w:r>
          </w:p>
          <w:p w14:paraId="203EE624">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（二） 资产折旧管理</w:t>
            </w:r>
          </w:p>
          <w:p w14:paraId="4B7964BB">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1．严格按照“资产系统建账，财务系统入账后进行折旧计提”的逻辑；</w:t>
            </w:r>
          </w:p>
          <w:p w14:paraId="1393E849">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2．资产卡片在资产系统审核通过后，推送至金蝶生成资产财务卡片。每月由财务系统根据折旧规则计算折旧额后，同步资产系统更新折旧信息；</w:t>
            </w:r>
          </w:p>
          <w:p w14:paraId="6684B2A0">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3．支持补提、冲减、回退等操作，所有调整操作均留有日志记录。</w:t>
            </w:r>
          </w:p>
          <w:p w14:paraId="41A7C0E9">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（三）资产清查与盘点</w:t>
            </w:r>
          </w:p>
          <w:p w14:paraId="13DAC9FE">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1．清查方式：支持手持终端扫码清查、手机端扫码清查及手动清查等多种方式。移动端支持离线扫码，网络恢复后自动上传数据。</w:t>
            </w:r>
          </w:p>
          <w:p w14:paraId="4B4E6A94">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2．清查管理：可灵活下发清查任务，设定清查基准日、清查范围（部门、地点、资产大类）。支持盘盈、盘亏自动生成报表，并与财务系统进行数据比对。</w:t>
            </w:r>
          </w:p>
          <w:p w14:paraId="1D816715">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（四）低值易耗品管理</w:t>
            </w:r>
          </w:p>
          <w:p w14:paraId="010FDD9D">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1．入库管理</w:t>
            </w:r>
          </w:p>
          <w:p w14:paraId="5020C5C7">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（1）支持低值易耗品（如办公用品、实验耗材等）的入库登记，包含名称、规格、数量、单价、供应商、入库日期等信息；</w:t>
            </w:r>
          </w:p>
          <w:p w14:paraId="764FF730">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（2）支持多级分类管理，可按类别统计库存情况；</w:t>
            </w:r>
          </w:p>
          <w:p w14:paraId="31B57A49">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（3）支持上传采购单据、验收单等附件。</w:t>
            </w:r>
          </w:p>
          <w:p w14:paraId="769FAB14">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2．领用管理</w:t>
            </w:r>
          </w:p>
          <w:p w14:paraId="2C4BDBD4">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（1）支持线上领用申请与审批流程；</w:t>
            </w:r>
          </w:p>
          <w:p w14:paraId="7976D7FA">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（2）领用时可关联使用部门、使用人、用途等信息；</w:t>
            </w:r>
          </w:p>
          <w:p w14:paraId="3A659C8D">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（3）支持按部门、人员统计领用情况。</w:t>
            </w:r>
          </w:p>
          <w:p w14:paraId="7D07BF2A">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3．库存管理</w:t>
            </w:r>
          </w:p>
          <w:p w14:paraId="4FEEF08F">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（1）实时更新库存数量，支持库存预警功能（如低于设定阈值时自动提醒）；</w:t>
            </w:r>
          </w:p>
          <w:p w14:paraId="7DBD3776">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（2）支持库存盘点功能，可生成盘盈、盘亏报表。</w:t>
            </w:r>
          </w:p>
          <w:p w14:paraId="08E6DBF7">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4．报表查询</w:t>
            </w:r>
          </w:p>
          <w:p w14:paraId="1C7C9015">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（1）提供入库明细表、领用明细表、库存汇总表、部门领用统计表等；</w:t>
            </w:r>
          </w:p>
          <w:p w14:paraId="564DE388">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（2）支持按时间、部门、类别等维度进行组合查询与导出。</w:t>
            </w:r>
          </w:p>
          <w:p w14:paraId="1DE921BA">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（五）移动应用</w:t>
            </w:r>
          </w:p>
          <w:p w14:paraId="33C2426E">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1．支持资产扫码查询（二维码/条码）；</w:t>
            </w:r>
          </w:p>
          <w:p w14:paraId="2B94BAD3">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2．支持资产盘点、资产清查任务执行；</w:t>
            </w:r>
          </w:p>
          <w:p w14:paraId="74C55265">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3．支持与PC端数据实时同步。</w:t>
            </w:r>
          </w:p>
          <w:p w14:paraId="7DD63C32">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4．移动端应支持 iOS 和 Android 主流操作系统；</w:t>
            </w:r>
          </w:p>
          <w:p w14:paraId="1011900D">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5．无需安装额外插件，可通过小程序、钉钉或独立APP方式接入。</w:t>
            </w:r>
          </w:p>
          <w:p w14:paraId="46600AA3">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（六）系统集成（与金蝶财务系统对接）</w:t>
            </w:r>
          </w:p>
          <w:p w14:paraId="06D78FAE">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1．实现资产系统与金蝶财务系统的双向数据同步；</w:t>
            </w:r>
          </w:p>
          <w:p w14:paraId="4390EC2C">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2．对接内容至少包括：资产入库、价值变动、资产处置、折旧数据、盘点调整等；</w:t>
            </w:r>
          </w:p>
          <w:p w14:paraId="40E56A27">
            <w:pPr>
              <w:spacing w:line="520" w:lineRule="exact"/>
              <w:jc w:val="both"/>
              <w:rPr>
                <w:rFonts w:hint="eastAsia" w:ascii="宋体" w:hAnsi="宋体" w:eastAsia="宋体" w:cs="宋体"/>
                <w:b w:val="0"/>
                <w:bCs/>
                <w:sz w:val="21"/>
                <w:szCs w:val="21"/>
              </w:rPr>
            </w:pPr>
            <w:r>
              <w:rPr>
                <w:rFonts w:hint="eastAsia" w:ascii="宋体" w:hAnsi="宋体" w:eastAsia="宋体" w:cs="宋体"/>
                <w:b w:val="0"/>
                <w:bCs/>
                <w:sz w:val="21"/>
                <w:szCs w:val="21"/>
              </w:rPr>
              <w:t>3．提供接口日志监控与异常告警功能，确保数据传输的完整性与可追溯性。</w:t>
            </w:r>
          </w:p>
        </w:tc>
      </w:tr>
    </w:tbl>
    <w:p w14:paraId="556185BC">
      <w:pPr>
        <w:rPr>
          <w:rFonts w:ascii="Times New Roman" w:hAnsi="Times New Roman" w:eastAsia="方正小标宋_GBK" w:cs="Times New Roman"/>
          <w:highlight w:val="none"/>
        </w:rPr>
      </w:pPr>
      <w:r>
        <w:rPr>
          <w:rFonts w:ascii="Times New Roman" w:hAnsi="Times New Roman" w:eastAsia="方正小标宋_GBK" w:cs="Times New Roman"/>
          <w:highlight w:val="none"/>
        </w:rPr>
        <w:br w:type="page"/>
      </w:r>
    </w:p>
    <w:p w14:paraId="12FF8715">
      <w:pPr>
        <w:pStyle w:val="2"/>
        <w:numPr>
          <w:ilvl w:val="0"/>
          <w:numId w:val="0"/>
        </w:numPr>
        <w:spacing w:before="0" w:after="0" w:line="520" w:lineRule="exact"/>
        <w:ind w:firstLine="2201" w:firstLineChars="500"/>
        <w:jc w:val="both"/>
        <w:rPr>
          <w:rFonts w:ascii="Times New Roman" w:hAnsi="Times New Roman" w:eastAsia="方正小标宋_GBK" w:cs="Times New Roman"/>
          <w:highlight w:val="none"/>
        </w:rPr>
      </w:pPr>
      <w:r>
        <w:rPr>
          <w:rFonts w:ascii="Times New Roman" w:hAnsi="Times New Roman" w:eastAsia="方正小标宋_GBK" w:cs="Times New Roman"/>
          <w:highlight w:val="none"/>
        </w:rPr>
        <w:t>第四章 评标原则</w:t>
      </w:r>
    </w:p>
    <w:p w14:paraId="04158347">
      <w:pPr>
        <w:spacing w:line="520" w:lineRule="exact"/>
        <w:ind w:firstLine="640" w:firstLineChars="200"/>
        <w:rPr>
          <w:rFonts w:hint="eastAsia" w:ascii="Times New Roman" w:hAnsi="Times New Roman" w:eastAsia="方正仿宋_GBK" w:cs="Times New Roman"/>
          <w:bCs/>
          <w:color w:val="auto"/>
          <w:kern w:val="0"/>
          <w:sz w:val="32"/>
          <w:szCs w:val="32"/>
          <w:highlight w:val="none"/>
          <w:lang w:bidi="en-US"/>
        </w:rPr>
      </w:pPr>
      <w:bookmarkStart w:id="218" w:name="_Toc454373093"/>
      <w:bookmarkStart w:id="219" w:name="_Toc531594799"/>
      <w:bookmarkStart w:id="220" w:name="_Toc484637076"/>
      <w:bookmarkStart w:id="221" w:name="_Toc481694471"/>
      <w:r>
        <w:rPr>
          <w:rFonts w:hint="eastAsia" w:ascii="Times New Roman" w:hAnsi="Times New Roman" w:eastAsia="方正仿宋_GBK" w:cs="Times New Roman"/>
          <w:bCs/>
          <w:kern w:val="0"/>
          <w:sz w:val="32"/>
          <w:szCs w:val="32"/>
          <w:lang w:bidi="en-US"/>
        </w:rPr>
        <w:t>本项目采用</w:t>
      </w:r>
      <w:r>
        <w:rPr>
          <w:rFonts w:hint="eastAsia" w:ascii="方正仿宋_GBK" w:hAnsi="方正仿宋_GBK" w:eastAsia="方正仿宋_GBK" w:cs="方正仿宋_GBK"/>
          <w:sz w:val="30"/>
          <w:szCs w:val="30"/>
        </w:rPr>
        <w:t>综合</w:t>
      </w:r>
      <w:r>
        <w:rPr>
          <w:rFonts w:hint="eastAsia" w:ascii="Times New Roman" w:hAnsi="Times New Roman" w:eastAsia="方正仿宋_GBK" w:cs="Times New Roman"/>
          <w:bCs/>
          <w:kern w:val="0"/>
          <w:sz w:val="32"/>
          <w:szCs w:val="32"/>
          <w:lang w:bidi="en-US"/>
        </w:rPr>
        <w:t>评分法的原则，投标人须对招标文件技术方案中所有“必须响应”的条</w:t>
      </w:r>
      <w:r>
        <w:rPr>
          <w:rFonts w:hint="eastAsia" w:ascii="Times New Roman" w:hAnsi="Times New Roman" w:eastAsia="方正仿宋_GBK" w:cs="Times New Roman"/>
          <w:bCs/>
          <w:color w:val="auto"/>
          <w:kern w:val="0"/>
          <w:sz w:val="32"/>
          <w:szCs w:val="32"/>
          <w:highlight w:val="none"/>
          <w:lang w:bidi="en-US"/>
        </w:rPr>
        <w:t>款（即本文件技术方案的全部要求）做出100%响应，任何一条负偏离或未响应均视为无效投标。</w:t>
      </w:r>
    </w:p>
    <w:p w14:paraId="3FB73294">
      <w:pPr>
        <w:spacing w:line="520" w:lineRule="exact"/>
        <w:ind w:firstLine="640" w:firstLineChars="200"/>
        <w:rPr>
          <w:rFonts w:hint="eastAsia" w:ascii="Times New Roman" w:hAnsi="Times New Roman" w:eastAsia="方正仿宋_GBK" w:cs="Times New Roman"/>
          <w:bCs/>
          <w:color w:val="auto"/>
          <w:kern w:val="0"/>
          <w:sz w:val="32"/>
          <w:szCs w:val="32"/>
          <w:highlight w:val="none"/>
          <w:lang w:val="en-US" w:eastAsia="zh-CN" w:bidi="en-US"/>
        </w:rPr>
      </w:pPr>
      <w:r>
        <w:rPr>
          <w:rFonts w:hint="eastAsia" w:ascii="Times New Roman" w:hAnsi="Times New Roman" w:eastAsia="方正仿宋_GBK" w:cs="Times New Roman"/>
          <w:bCs/>
          <w:color w:val="auto"/>
          <w:kern w:val="0"/>
          <w:sz w:val="32"/>
          <w:szCs w:val="32"/>
          <w:highlight w:val="none"/>
          <w:lang w:bidi="en-US"/>
        </w:rPr>
        <w:t>评分由经济分、技术分、商务分三部分构成，其中经济部分</w:t>
      </w:r>
      <w:r>
        <w:rPr>
          <w:rFonts w:hint="eastAsia" w:ascii="Times New Roman" w:hAnsi="Times New Roman" w:eastAsia="方正仿宋_GBK" w:cs="Times New Roman"/>
          <w:bCs/>
          <w:color w:val="auto"/>
          <w:kern w:val="0"/>
          <w:sz w:val="32"/>
          <w:szCs w:val="32"/>
          <w:highlight w:val="none"/>
          <w:lang w:val="en-US" w:eastAsia="zh-CN" w:bidi="en-US"/>
        </w:rPr>
        <w:t>40</w:t>
      </w:r>
      <w:r>
        <w:rPr>
          <w:rFonts w:hint="eastAsia" w:ascii="Times New Roman" w:hAnsi="Times New Roman" w:eastAsia="方正仿宋_GBK" w:cs="Times New Roman"/>
          <w:bCs/>
          <w:color w:val="auto"/>
          <w:kern w:val="0"/>
          <w:sz w:val="32"/>
          <w:szCs w:val="32"/>
          <w:highlight w:val="none"/>
          <w:lang w:bidi="en-US"/>
        </w:rPr>
        <w:t>分、技术部分</w:t>
      </w:r>
      <w:r>
        <w:rPr>
          <w:rFonts w:hint="eastAsia" w:ascii="Times New Roman" w:hAnsi="Times New Roman" w:eastAsia="方正仿宋_GBK" w:cs="Times New Roman"/>
          <w:bCs/>
          <w:color w:val="auto"/>
          <w:kern w:val="0"/>
          <w:sz w:val="32"/>
          <w:szCs w:val="32"/>
          <w:highlight w:val="none"/>
          <w:lang w:val="en-US" w:eastAsia="zh-CN" w:bidi="en-US"/>
        </w:rPr>
        <w:t>50</w:t>
      </w:r>
      <w:r>
        <w:rPr>
          <w:rFonts w:hint="eastAsia" w:ascii="Times New Roman" w:hAnsi="Times New Roman" w:eastAsia="方正仿宋_GBK" w:cs="Times New Roman"/>
          <w:bCs/>
          <w:color w:val="auto"/>
          <w:kern w:val="0"/>
          <w:sz w:val="32"/>
          <w:szCs w:val="32"/>
          <w:highlight w:val="none"/>
          <w:lang w:bidi="en-US"/>
        </w:rPr>
        <w:t>分，商务部分</w:t>
      </w:r>
      <w:r>
        <w:rPr>
          <w:rFonts w:hint="eastAsia" w:ascii="Times New Roman" w:hAnsi="Times New Roman" w:eastAsia="方正仿宋_GBK" w:cs="Times New Roman"/>
          <w:bCs/>
          <w:color w:val="auto"/>
          <w:kern w:val="0"/>
          <w:sz w:val="32"/>
          <w:szCs w:val="32"/>
          <w:highlight w:val="none"/>
          <w:lang w:val="en-US" w:eastAsia="zh-CN" w:bidi="en-US"/>
        </w:rPr>
        <w:t>10</w:t>
      </w:r>
      <w:r>
        <w:rPr>
          <w:rFonts w:hint="eastAsia" w:ascii="Times New Roman" w:hAnsi="Times New Roman" w:eastAsia="方正仿宋_GBK" w:cs="Times New Roman"/>
          <w:bCs/>
          <w:color w:val="auto"/>
          <w:kern w:val="0"/>
          <w:sz w:val="32"/>
          <w:szCs w:val="32"/>
          <w:highlight w:val="none"/>
          <w:lang w:bidi="en-US"/>
        </w:rPr>
        <w:t>分，共计100分</w:t>
      </w:r>
      <w:r>
        <w:rPr>
          <w:rFonts w:hint="eastAsia" w:ascii="Times New Roman" w:hAnsi="Times New Roman" w:eastAsia="方正仿宋_GBK" w:cs="Times New Roman"/>
          <w:bCs/>
          <w:color w:val="auto"/>
          <w:kern w:val="0"/>
          <w:sz w:val="32"/>
          <w:szCs w:val="32"/>
          <w:highlight w:val="none"/>
          <w:lang w:val="en-US" w:eastAsia="zh-CN" w:bidi="en-US"/>
        </w:rPr>
        <w:t>,</w:t>
      </w:r>
      <w:r>
        <w:rPr>
          <w:rFonts w:hint="eastAsia" w:ascii="Times New Roman" w:hAnsi="Times New Roman" w:eastAsia="方正仿宋_GBK" w:cs="Times New Roman"/>
          <w:bCs/>
          <w:color w:val="auto"/>
          <w:kern w:val="0"/>
          <w:sz w:val="32"/>
          <w:szCs w:val="32"/>
          <w:highlight w:val="none"/>
          <w:lang w:bidi="en-US"/>
        </w:rPr>
        <w:t>得分</w:t>
      </w:r>
      <w:r>
        <w:rPr>
          <w:rFonts w:hint="eastAsia" w:ascii="Times New Roman" w:hAnsi="Times New Roman" w:eastAsia="方正仿宋_GBK" w:cs="Times New Roman"/>
          <w:bCs/>
          <w:kern w:val="0"/>
          <w:sz w:val="32"/>
          <w:szCs w:val="32"/>
          <w:lang w:bidi="en-US"/>
        </w:rPr>
        <w:t>精确到小数点后两位。</w:t>
      </w:r>
    </w:p>
    <w:tbl>
      <w:tblPr>
        <w:tblStyle w:val="42"/>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1956"/>
        <w:gridCol w:w="5427"/>
        <w:gridCol w:w="1126"/>
      </w:tblGrid>
      <w:tr w14:paraId="6202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4" w:type="pct"/>
            <w:tcBorders>
              <w:top w:val="single" w:color="auto" w:sz="4" w:space="0"/>
              <w:left w:val="single" w:color="auto" w:sz="4" w:space="0"/>
              <w:bottom w:val="single" w:color="auto" w:sz="4" w:space="0"/>
              <w:right w:val="single" w:color="auto" w:sz="4" w:space="0"/>
            </w:tcBorders>
            <w:vAlign w:val="center"/>
          </w:tcPr>
          <w:p w14:paraId="2C674460">
            <w:pPr>
              <w:pStyle w:val="38"/>
              <w:snapToGrid w:val="0"/>
              <w:spacing w:before="120" w:beforeAutospacing="0" w:after="120" w:afterAutospacing="0"/>
              <w:ind w:left="480" w:hanging="480"/>
              <w:jc w:val="center"/>
              <w:rPr>
                <w:rFonts w:hint="eastAsia"/>
              </w:rPr>
            </w:pPr>
            <w:bookmarkStart w:id="222" w:name="_Hlk218517272"/>
            <w:r>
              <w:rPr>
                <w:rFonts w:hint="eastAsia"/>
              </w:rPr>
              <w:t>项目</w:t>
            </w:r>
          </w:p>
        </w:tc>
        <w:tc>
          <w:tcPr>
            <w:tcW w:w="978" w:type="pct"/>
            <w:tcBorders>
              <w:top w:val="single" w:color="auto" w:sz="4" w:space="0"/>
              <w:left w:val="single" w:color="auto" w:sz="4" w:space="0"/>
              <w:bottom w:val="single" w:color="auto" w:sz="4" w:space="0"/>
              <w:right w:val="single" w:color="auto" w:sz="4" w:space="0"/>
            </w:tcBorders>
            <w:vAlign w:val="center"/>
          </w:tcPr>
          <w:p w14:paraId="10B6DE36">
            <w:pPr>
              <w:pStyle w:val="38"/>
              <w:snapToGrid w:val="0"/>
              <w:spacing w:before="120" w:beforeAutospacing="0" w:after="120" w:afterAutospacing="0"/>
              <w:ind w:left="480" w:hanging="480"/>
              <w:jc w:val="center"/>
              <w:rPr>
                <w:rFonts w:hint="eastAsia"/>
              </w:rPr>
            </w:pPr>
            <w:r>
              <w:rPr>
                <w:rFonts w:hint="eastAsia"/>
              </w:rPr>
              <w:t>分项名称</w:t>
            </w:r>
          </w:p>
        </w:tc>
        <w:tc>
          <w:tcPr>
            <w:tcW w:w="2714" w:type="pct"/>
            <w:tcBorders>
              <w:top w:val="single" w:color="auto" w:sz="4" w:space="0"/>
              <w:left w:val="single" w:color="auto" w:sz="4" w:space="0"/>
              <w:bottom w:val="single" w:color="auto" w:sz="4" w:space="0"/>
              <w:right w:val="single" w:color="auto" w:sz="4" w:space="0"/>
            </w:tcBorders>
            <w:vAlign w:val="center"/>
          </w:tcPr>
          <w:p w14:paraId="52776E18">
            <w:pPr>
              <w:pStyle w:val="38"/>
              <w:snapToGrid w:val="0"/>
              <w:spacing w:before="120" w:beforeAutospacing="0" w:after="120" w:afterAutospacing="0"/>
              <w:ind w:left="480" w:hanging="480"/>
              <w:jc w:val="center"/>
              <w:rPr>
                <w:rFonts w:hint="eastAsia"/>
              </w:rPr>
            </w:pPr>
            <w:r>
              <w:rPr>
                <w:rFonts w:hint="eastAsia"/>
              </w:rPr>
              <w:t>评分标准</w:t>
            </w:r>
          </w:p>
        </w:tc>
        <w:tc>
          <w:tcPr>
            <w:tcW w:w="563" w:type="pct"/>
            <w:tcBorders>
              <w:top w:val="single" w:color="auto" w:sz="4" w:space="0"/>
              <w:left w:val="single" w:color="auto" w:sz="4" w:space="0"/>
              <w:bottom w:val="single" w:color="auto" w:sz="4" w:space="0"/>
              <w:right w:val="single" w:color="auto" w:sz="4" w:space="0"/>
            </w:tcBorders>
            <w:vAlign w:val="center"/>
          </w:tcPr>
          <w:p w14:paraId="4AC77C90">
            <w:pPr>
              <w:pStyle w:val="38"/>
              <w:snapToGrid w:val="0"/>
              <w:spacing w:before="120" w:beforeAutospacing="0" w:after="120" w:afterAutospacing="0"/>
              <w:ind w:left="480" w:hanging="480"/>
              <w:jc w:val="center"/>
              <w:rPr>
                <w:rFonts w:hint="eastAsia"/>
              </w:rPr>
            </w:pPr>
            <w:r>
              <w:rPr>
                <w:rFonts w:hint="eastAsia"/>
              </w:rPr>
              <w:t>满分</w:t>
            </w:r>
          </w:p>
        </w:tc>
      </w:tr>
      <w:tr w14:paraId="4946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744" w:type="pct"/>
            <w:tcBorders>
              <w:top w:val="single" w:color="auto" w:sz="4" w:space="0"/>
              <w:left w:val="single" w:color="auto" w:sz="4" w:space="0"/>
              <w:bottom w:val="single" w:color="auto" w:sz="4" w:space="0"/>
              <w:right w:val="single" w:color="auto" w:sz="4" w:space="0"/>
            </w:tcBorders>
            <w:vAlign w:val="center"/>
          </w:tcPr>
          <w:p w14:paraId="15B8A8F6">
            <w:pPr>
              <w:pStyle w:val="38"/>
              <w:snapToGrid w:val="0"/>
              <w:spacing w:before="120" w:beforeAutospacing="0" w:after="120" w:afterAutospacing="0"/>
              <w:ind w:left="480" w:hanging="480"/>
              <w:jc w:val="center"/>
              <w:rPr>
                <w:rFonts w:hint="eastAsia"/>
              </w:rPr>
            </w:pPr>
            <w:r>
              <w:rPr>
                <w:rFonts w:hint="eastAsia"/>
              </w:rPr>
              <w:t>经济部分</w:t>
            </w:r>
          </w:p>
          <w:p w14:paraId="6836A488">
            <w:pPr>
              <w:pStyle w:val="38"/>
              <w:snapToGrid w:val="0"/>
              <w:spacing w:before="120" w:beforeAutospacing="0" w:after="120" w:afterAutospacing="0"/>
              <w:ind w:left="480" w:hanging="480"/>
              <w:jc w:val="center"/>
              <w:rPr>
                <w:rFonts w:hint="eastAsia"/>
              </w:rPr>
            </w:pPr>
            <w:r>
              <w:rPr>
                <w:rFonts w:hint="eastAsia"/>
              </w:rPr>
              <w:t>（</w:t>
            </w:r>
            <w:r>
              <w:rPr>
                <w:rFonts w:hint="eastAsia"/>
                <w:lang w:val="en-US" w:eastAsia="zh-CN"/>
              </w:rPr>
              <w:t>4</w:t>
            </w:r>
            <w:r>
              <w:rPr>
                <w:rFonts w:hint="eastAsia"/>
              </w:rPr>
              <w:t>0分）</w:t>
            </w:r>
          </w:p>
        </w:tc>
        <w:tc>
          <w:tcPr>
            <w:tcW w:w="978" w:type="pct"/>
            <w:tcBorders>
              <w:top w:val="single" w:color="auto" w:sz="4" w:space="0"/>
              <w:left w:val="single" w:color="auto" w:sz="4" w:space="0"/>
              <w:bottom w:val="single" w:color="auto" w:sz="4" w:space="0"/>
              <w:right w:val="single" w:color="auto" w:sz="4" w:space="0"/>
            </w:tcBorders>
            <w:vAlign w:val="center"/>
          </w:tcPr>
          <w:p w14:paraId="1352D3F8">
            <w:pPr>
              <w:pStyle w:val="38"/>
              <w:snapToGrid w:val="0"/>
              <w:spacing w:before="120" w:beforeAutospacing="0" w:after="120" w:afterAutospacing="0"/>
              <w:ind w:left="480" w:hanging="480"/>
              <w:jc w:val="center"/>
              <w:rPr>
                <w:rFonts w:hint="eastAsia"/>
              </w:rPr>
            </w:pPr>
            <w:r>
              <w:rPr>
                <w:rFonts w:hint="eastAsia"/>
              </w:rPr>
              <w:t>价格</w:t>
            </w:r>
          </w:p>
        </w:tc>
        <w:tc>
          <w:tcPr>
            <w:tcW w:w="2714" w:type="pct"/>
            <w:tcBorders>
              <w:top w:val="single" w:color="auto" w:sz="4" w:space="0"/>
              <w:left w:val="single" w:color="auto" w:sz="4" w:space="0"/>
              <w:bottom w:val="single" w:color="auto" w:sz="4" w:space="0"/>
              <w:right w:val="single" w:color="auto" w:sz="4" w:space="0"/>
            </w:tcBorders>
            <w:vAlign w:val="center"/>
          </w:tcPr>
          <w:p w14:paraId="15A1ECB9">
            <w:pPr>
              <w:widowControl/>
              <w:jc w:val="left"/>
              <w:textAlignment w:val="center"/>
              <w:rPr>
                <w:rFonts w:hint="eastAsia" w:ascii="宋体" w:hAnsi="宋体" w:cs="宋体"/>
                <w:kern w:val="0"/>
                <w:lang w:bidi="ar"/>
              </w:rPr>
            </w:pPr>
            <w:r>
              <w:rPr>
                <w:rFonts w:hint="eastAsia" w:ascii="宋体" w:hAnsi="宋体" w:cs="宋体"/>
                <w:kern w:val="0"/>
                <w:lang w:bidi="ar"/>
              </w:rPr>
              <w:t>满足资格性、符合性要求，以有效投标报价中的最低价为投标基准价，其价格分为满分。其他投标人的价格分统一按照下列公式计算：</w:t>
            </w:r>
          </w:p>
          <w:p w14:paraId="232FD774">
            <w:pPr>
              <w:widowControl/>
              <w:jc w:val="left"/>
              <w:textAlignment w:val="center"/>
              <w:rPr>
                <w:rFonts w:hint="default" w:ascii="宋体" w:hAnsi="宋体" w:eastAsia="宋体" w:cs="宋体"/>
                <w:kern w:val="0"/>
                <w:lang w:val="en-US" w:eastAsia="zh-CN" w:bidi="ar"/>
              </w:rPr>
            </w:pPr>
            <w:r>
              <w:rPr>
                <w:rFonts w:hint="eastAsia" w:ascii="宋体" w:hAnsi="宋体" w:cs="宋体"/>
                <w:kern w:val="0"/>
                <w:lang w:bidi="ar"/>
              </w:rPr>
              <w:t>投标报价得分=（投标基准价/投标报价）×40</w:t>
            </w:r>
          </w:p>
        </w:tc>
        <w:tc>
          <w:tcPr>
            <w:tcW w:w="563" w:type="pct"/>
            <w:tcBorders>
              <w:top w:val="single" w:color="auto" w:sz="4" w:space="0"/>
              <w:left w:val="single" w:color="auto" w:sz="4" w:space="0"/>
              <w:bottom w:val="single" w:color="auto" w:sz="4" w:space="0"/>
              <w:right w:val="single" w:color="auto" w:sz="4" w:space="0"/>
            </w:tcBorders>
            <w:vAlign w:val="center"/>
          </w:tcPr>
          <w:p w14:paraId="7D693C9A">
            <w:pPr>
              <w:pStyle w:val="38"/>
              <w:snapToGrid w:val="0"/>
              <w:spacing w:before="120" w:beforeAutospacing="0" w:after="120" w:afterAutospacing="0"/>
              <w:ind w:left="480" w:hanging="480"/>
              <w:jc w:val="center"/>
              <w:rPr>
                <w:rFonts w:hint="default" w:eastAsia="宋体"/>
                <w:lang w:val="en-US" w:eastAsia="zh-CN"/>
              </w:rPr>
            </w:pPr>
            <w:r>
              <w:rPr>
                <w:rFonts w:hint="eastAsia"/>
                <w:lang w:val="en-US" w:eastAsia="zh-CN"/>
              </w:rPr>
              <w:t>40</w:t>
            </w:r>
          </w:p>
        </w:tc>
      </w:tr>
      <w:tr w14:paraId="6697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restart"/>
            <w:tcBorders>
              <w:left w:val="single" w:color="auto" w:sz="4" w:space="0"/>
              <w:right w:val="single" w:color="auto" w:sz="4" w:space="0"/>
            </w:tcBorders>
            <w:vAlign w:val="center"/>
          </w:tcPr>
          <w:p w14:paraId="3E348D96">
            <w:pPr>
              <w:pStyle w:val="38"/>
              <w:snapToGrid w:val="0"/>
              <w:spacing w:before="120" w:beforeAutospacing="0" w:after="120" w:afterAutospacing="0"/>
              <w:ind w:left="480" w:hanging="480"/>
              <w:jc w:val="center"/>
              <w:rPr>
                <w:rFonts w:hint="eastAsia"/>
              </w:rPr>
            </w:pPr>
            <w:r>
              <w:rPr>
                <w:rFonts w:hint="eastAsia"/>
              </w:rPr>
              <w:t>技术部分</w:t>
            </w:r>
          </w:p>
          <w:p w14:paraId="01287EE0">
            <w:pPr>
              <w:pStyle w:val="38"/>
              <w:snapToGrid w:val="0"/>
              <w:spacing w:before="120" w:beforeAutospacing="0" w:after="120" w:afterAutospacing="0"/>
              <w:ind w:left="480" w:hanging="480"/>
              <w:jc w:val="center"/>
              <w:rPr>
                <w:rFonts w:hint="eastAsia"/>
              </w:rPr>
            </w:pPr>
            <w:r>
              <w:rPr>
                <w:rFonts w:hint="eastAsia"/>
              </w:rPr>
              <w:t>（</w:t>
            </w:r>
            <w:r>
              <w:rPr>
                <w:rFonts w:hint="eastAsia"/>
                <w:lang w:val="en-US" w:eastAsia="zh-CN"/>
              </w:rPr>
              <w:t>50</w:t>
            </w:r>
            <w:r>
              <w:rPr>
                <w:rFonts w:hint="eastAsia"/>
              </w:rPr>
              <w:t>分）</w:t>
            </w:r>
          </w:p>
        </w:tc>
        <w:tc>
          <w:tcPr>
            <w:tcW w:w="978" w:type="pct"/>
            <w:tcBorders>
              <w:top w:val="single" w:color="auto" w:sz="4" w:space="0"/>
              <w:left w:val="single" w:color="auto" w:sz="4" w:space="0"/>
              <w:right w:val="single" w:color="auto" w:sz="4" w:space="0"/>
            </w:tcBorders>
            <w:vAlign w:val="center"/>
          </w:tcPr>
          <w:p w14:paraId="09980084">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center"/>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项目方案板块</w:t>
            </w:r>
          </w:p>
        </w:tc>
        <w:tc>
          <w:tcPr>
            <w:tcW w:w="2714" w:type="pct"/>
            <w:tcBorders>
              <w:top w:val="single" w:color="auto" w:sz="4" w:space="0"/>
              <w:left w:val="single" w:color="auto" w:sz="4" w:space="0"/>
              <w:bottom w:val="single" w:color="auto" w:sz="4" w:space="0"/>
              <w:right w:val="single" w:color="auto" w:sz="4" w:space="0"/>
            </w:tcBorders>
          </w:tcPr>
          <w:p w14:paraId="71C0021C">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0" w:firstLine="482"/>
              <w:jc w:val="both"/>
              <w:textAlignment w:val="auto"/>
              <w:rPr>
                <w:rFonts w:hint="eastAsia" w:ascii="宋体" w:hAnsi="宋体" w:eastAsia="宋体" w:cs="宋体"/>
                <w:kern w:val="0"/>
                <w:sz w:val="24"/>
                <w:szCs w:val="22"/>
                <w:lang w:val="en-US" w:eastAsia="zh-Hans" w:bidi="ar"/>
              </w:rPr>
            </w:pPr>
            <w:r>
              <w:rPr>
                <w:rFonts w:hint="eastAsia" w:ascii="宋体" w:hAnsi="宋体" w:eastAsia="宋体" w:cs="宋体"/>
                <w:kern w:val="0"/>
                <w:sz w:val="24"/>
                <w:szCs w:val="22"/>
                <w:lang w:val="en-US" w:eastAsia="zh-Hans" w:bidi="ar"/>
              </w:rPr>
              <w:t>对项目理解、需求分析、总体设计、技术架构的合理性、完整性进行评价。</w:t>
            </w:r>
          </w:p>
          <w:p w14:paraId="7ED36C9F">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left"/>
              <w:textAlignment w:val="auto"/>
              <w:rPr>
                <w:rFonts w:hint="eastAsia" w:ascii="宋体" w:hAnsi="宋体" w:eastAsia="宋体" w:cs="宋体"/>
                <w:kern w:val="0"/>
                <w:sz w:val="24"/>
                <w:szCs w:val="22"/>
                <w:lang w:val="en-US" w:eastAsia="zh-Hans" w:bidi="ar"/>
              </w:rPr>
            </w:pPr>
            <w:r>
              <w:rPr>
                <w:rFonts w:hint="eastAsia" w:ascii="宋体" w:hAnsi="宋体" w:eastAsia="宋体" w:cs="宋体"/>
                <w:kern w:val="0"/>
                <w:sz w:val="24"/>
                <w:szCs w:val="22"/>
                <w:lang w:val="en-US" w:eastAsia="zh-Hans" w:bidi="ar"/>
              </w:rPr>
              <w:t>（1）方案完整度（8分）：提供完整的系统架构图、数据流向图、部署拓扑图，涵盖资产全生命周期、低值易耗品、移动应用及金蝶对接，得6分；在此基础上增加安全设计、灾备方案等得8分。</w:t>
            </w:r>
          </w:p>
          <w:p w14:paraId="06E8FAA2">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left"/>
              <w:textAlignment w:val="auto"/>
              <w:rPr>
                <w:rFonts w:hint="eastAsia" w:ascii="宋体" w:hAnsi="宋体" w:eastAsia="宋体" w:cs="宋体"/>
                <w:kern w:val="0"/>
                <w:sz w:val="24"/>
                <w:szCs w:val="22"/>
                <w:lang w:val="en-US" w:eastAsia="zh-Hans" w:bidi="ar"/>
              </w:rPr>
            </w:pPr>
            <w:r>
              <w:rPr>
                <w:rFonts w:hint="eastAsia" w:ascii="宋体" w:hAnsi="宋体" w:eastAsia="宋体" w:cs="宋体"/>
                <w:kern w:val="0"/>
                <w:sz w:val="24"/>
                <w:szCs w:val="22"/>
                <w:lang w:val="en-US" w:eastAsia="zh-Hans" w:bidi="ar"/>
              </w:rPr>
              <w:t>（2）方案针对性（2分）：结合学校实际管理流程，提出个性化优化建议，每项合理建议得1分，最高2分。</w:t>
            </w:r>
          </w:p>
        </w:tc>
        <w:tc>
          <w:tcPr>
            <w:tcW w:w="563" w:type="pct"/>
            <w:tcBorders>
              <w:top w:val="single" w:color="auto" w:sz="4" w:space="0"/>
              <w:left w:val="single" w:color="auto" w:sz="4" w:space="0"/>
              <w:bottom w:val="single" w:color="auto" w:sz="4" w:space="0"/>
              <w:right w:val="single" w:color="auto" w:sz="4" w:space="0"/>
            </w:tcBorders>
            <w:vAlign w:val="center"/>
          </w:tcPr>
          <w:p w14:paraId="32E3C207">
            <w:pPr>
              <w:pStyle w:val="38"/>
              <w:snapToGrid w:val="0"/>
              <w:spacing w:before="120" w:beforeAutospacing="0" w:after="120" w:afterAutospacing="0"/>
              <w:ind w:left="480" w:hanging="480"/>
              <w:jc w:val="center"/>
              <w:rPr>
                <w:rFonts w:hint="default" w:eastAsia="宋体"/>
                <w:lang w:val="en-US" w:eastAsia="zh-CN"/>
              </w:rPr>
            </w:pPr>
            <w:r>
              <w:rPr>
                <w:rFonts w:hint="eastAsia"/>
                <w:lang w:val="en-US" w:eastAsia="zh-CN"/>
              </w:rPr>
              <w:t>10</w:t>
            </w:r>
          </w:p>
        </w:tc>
      </w:tr>
      <w:tr w14:paraId="746E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right w:val="single" w:color="auto" w:sz="4" w:space="0"/>
            </w:tcBorders>
            <w:vAlign w:val="center"/>
          </w:tcPr>
          <w:p w14:paraId="54641EDC">
            <w:pPr>
              <w:pStyle w:val="38"/>
              <w:snapToGrid w:val="0"/>
              <w:spacing w:before="120" w:beforeAutospacing="0" w:after="120" w:afterAutospacing="0"/>
              <w:ind w:left="480" w:hanging="480"/>
              <w:rPr>
                <w:rFonts w:hint="eastAsia"/>
              </w:rPr>
            </w:pPr>
          </w:p>
        </w:tc>
        <w:tc>
          <w:tcPr>
            <w:tcW w:w="978" w:type="pct"/>
            <w:tcBorders>
              <w:top w:val="single" w:color="auto" w:sz="4" w:space="0"/>
              <w:left w:val="single" w:color="auto" w:sz="4" w:space="0"/>
              <w:right w:val="single" w:color="auto" w:sz="4" w:space="0"/>
            </w:tcBorders>
            <w:vAlign w:val="center"/>
          </w:tcPr>
          <w:p w14:paraId="2000C553">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center"/>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功能设计板块</w:t>
            </w:r>
          </w:p>
        </w:tc>
        <w:tc>
          <w:tcPr>
            <w:tcW w:w="2714" w:type="pct"/>
            <w:tcBorders>
              <w:top w:val="single" w:color="auto" w:sz="4" w:space="0"/>
              <w:left w:val="single" w:color="auto" w:sz="4" w:space="0"/>
              <w:right w:val="single" w:color="auto" w:sz="4" w:space="0"/>
            </w:tcBorders>
          </w:tcPr>
          <w:p w14:paraId="48EFAD4F">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0" w:firstLine="482"/>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基础功能满足得10分；在满足招标要求基础上，每提供一项实用、创新的附加功能加1~2分，最高加5分。</w:t>
            </w:r>
          </w:p>
          <w:p w14:paraId="7E6523B6">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（1）基础分（10分）：</w:t>
            </w:r>
          </w:p>
          <w:p w14:paraId="7210DAAE">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投标产品完全满足招标文件《固定资产管理系统建设项目技术方案》中所有核心功能要求（固定资产全生命周期、低值易耗品、移动应用、与金蝶对接等），提供完整的截图或功能说明，得10分。</w:t>
            </w:r>
          </w:p>
          <w:p w14:paraId="7101E3D2">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（2）附加功能加分（最高5分）：</w:t>
            </w:r>
          </w:p>
          <w:p w14:paraId="4CEC4DB0">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在完全满足招标要求的基础上，投标人可提供额外优化功能。评委会根据功能的实用性、创新性、对学校管理效率的提升价值进行加分。每项优秀附加功能加1~2分；累计加分不超过5分</w:t>
            </w:r>
          </w:p>
        </w:tc>
        <w:tc>
          <w:tcPr>
            <w:tcW w:w="563" w:type="pct"/>
            <w:tcBorders>
              <w:top w:val="single" w:color="auto" w:sz="4" w:space="0"/>
              <w:left w:val="single" w:color="auto" w:sz="4" w:space="0"/>
              <w:bottom w:val="single" w:color="auto" w:sz="4" w:space="0"/>
              <w:right w:val="single" w:color="auto" w:sz="4" w:space="0"/>
            </w:tcBorders>
            <w:vAlign w:val="center"/>
          </w:tcPr>
          <w:p w14:paraId="5F55AA30">
            <w:pPr>
              <w:pStyle w:val="38"/>
              <w:snapToGrid w:val="0"/>
              <w:spacing w:before="120" w:beforeAutospacing="0" w:after="120" w:afterAutospacing="0"/>
              <w:ind w:left="480" w:hanging="480"/>
              <w:jc w:val="center"/>
              <w:rPr>
                <w:rFonts w:hint="default" w:eastAsia="宋体"/>
                <w:kern w:val="2"/>
                <w:lang w:val="en-US" w:eastAsia="zh-CN"/>
              </w:rPr>
            </w:pPr>
            <w:r>
              <w:rPr>
                <w:rFonts w:hint="eastAsia"/>
                <w:kern w:val="2"/>
                <w:lang w:val="en-US" w:eastAsia="zh-CN"/>
              </w:rPr>
              <w:t>15</w:t>
            </w:r>
          </w:p>
        </w:tc>
      </w:tr>
      <w:tr w14:paraId="6304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right w:val="single" w:color="auto" w:sz="4" w:space="0"/>
            </w:tcBorders>
            <w:vAlign w:val="center"/>
          </w:tcPr>
          <w:p w14:paraId="5C720FAF">
            <w:pPr>
              <w:pStyle w:val="38"/>
              <w:snapToGrid w:val="0"/>
              <w:spacing w:before="120" w:beforeAutospacing="0" w:after="120" w:afterAutospacing="0"/>
              <w:ind w:left="480" w:hanging="480"/>
              <w:rPr>
                <w:rFonts w:hint="eastAsia"/>
              </w:rPr>
            </w:pPr>
          </w:p>
        </w:tc>
        <w:tc>
          <w:tcPr>
            <w:tcW w:w="978" w:type="pct"/>
            <w:tcBorders>
              <w:top w:val="single" w:color="auto" w:sz="4" w:space="0"/>
              <w:left w:val="single" w:color="auto" w:sz="4" w:space="0"/>
              <w:right w:val="single" w:color="auto" w:sz="4" w:space="0"/>
            </w:tcBorders>
            <w:vAlign w:val="center"/>
          </w:tcPr>
          <w:p w14:paraId="1ED0969A">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center"/>
              <w:textAlignment w:val="auto"/>
              <w:rPr>
                <w:rFonts w:hint="eastAsia" w:ascii="宋体" w:hAnsi="宋体" w:eastAsia="宋体" w:cs="宋体"/>
                <w:kern w:val="0"/>
                <w:sz w:val="24"/>
                <w:szCs w:val="22"/>
                <w:lang w:val="en-US" w:eastAsia="zh-Hans" w:bidi="ar"/>
              </w:rPr>
            </w:pPr>
            <w:r>
              <w:rPr>
                <w:rFonts w:hint="eastAsia" w:ascii="宋体" w:hAnsi="宋体" w:eastAsia="宋体" w:cs="宋体"/>
                <w:kern w:val="0"/>
                <w:sz w:val="24"/>
                <w:szCs w:val="22"/>
                <w:lang w:val="en-US" w:eastAsia="zh-CN" w:bidi="ar"/>
              </w:rPr>
              <w:t>现场演示</w:t>
            </w:r>
          </w:p>
        </w:tc>
        <w:tc>
          <w:tcPr>
            <w:tcW w:w="2714" w:type="pct"/>
            <w:tcBorders>
              <w:top w:val="single" w:color="auto" w:sz="4" w:space="0"/>
              <w:left w:val="single" w:color="auto" w:sz="4" w:space="0"/>
              <w:right w:val="single" w:color="auto" w:sz="4" w:space="0"/>
            </w:tcBorders>
          </w:tcPr>
          <w:p w14:paraId="73C8E3DC">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0" w:firstLine="482"/>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演示系统核心功能及对接流程，根据演示效果、操作流畅性、功能真实性打分。</w:t>
            </w:r>
          </w:p>
          <w:p w14:paraId="0FCF952E">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（1）演示流程完整、功能完全符合技术方案要求，得12-15分；</w:t>
            </w:r>
          </w:p>
          <w:p w14:paraId="1A7DE8D8">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（2）演示功能基本满足但个别细节缺失，得6-11分；</w:t>
            </w:r>
          </w:p>
          <w:p w14:paraId="432E463F">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（3）演示出现重大错误或无法演示核心功能，得0-5分。</w:t>
            </w:r>
          </w:p>
        </w:tc>
        <w:tc>
          <w:tcPr>
            <w:tcW w:w="563" w:type="pct"/>
            <w:tcBorders>
              <w:top w:val="single" w:color="auto" w:sz="4" w:space="0"/>
              <w:left w:val="single" w:color="auto" w:sz="4" w:space="0"/>
              <w:bottom w:val="single" w:color="auto" w:sz="4" w:space="0"/>
              <w:right w:val="single" w:color="auto" w:sz="4" w:space="0"/>
            </w:tcBorders>
            <w:vAlign w:val="center"/>
          </w:tcPr>
          <w:p w14:paraId="6149B07B">
            <w:pPr>
              <w:pStyle w:val="38"/>
              <w:snapToGrid w:val="0"/>
              <w:spacing w:before="120" w:beforeAutospacing="0" w:after="120" w:afterAutospacing="0"/>
              <w:ind w:left="480" w:hanging="480"/>
              <w:jc w:val="center"/>
              <w:rPr>
                <w:rFonts w:hint="default" w:eastAsia="宋体"/>
                <w:kern w:val="2"/>
                <w:lang w:val="en-US" w:eastAsia="zh-CN"/>
              </w:rPr>
            </w:pPr>
            <w:r>
              <w:rPr>
                <w:rFonts w:hint="eastAsia"/>
                <w:kern w:val="2"/>
                <w:lang w:val="en-US" w:eastAsia="zh-CN"/>
              </w:rPr>
              <w:t>15</w:t>
            </w:r>
          </w:p>
        </w:tc>
      </w:tr>
      <w:tr w14:paraId="0A9B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right w:val="single" w:color="auto" w:sz="4" w:space="0"/>
            </w:tcBorders>
            <w:vAlign w:val="center"/>
          </w:tcPr>
          <w:p w14:paraId="389C68F1">
            <w:pPr>
              <w:pStyle w:val="38"/>
              <w:snapToGrid w:val="0"/>
              <w:spacing w:before="120" w:beforeAutospacing="0" w:after="120" w:afterAutospacing="0"/>
              <w:ind w:left="480" w:hanging="480"/>
              <w:rPr>
                <w:rFonts w:hint="eastAsia"/>
              </w:rPr>
            </w:pPr>
          </w:p>
        </w:tc>
        <w:tc>
          <w:tcPr>
            <w:tcW w:w="978" w:type="pct"/>
            <w:tcBorders>
              <w:top w:val="single" w:color="auto" w:sz="4" w:space="0"/>
              <w:left w:val="single" w:color="auto" w:sz="4" w:space="0"/>
              <w:right w:val="single" w:color="auto" w:sz="4" w:space="0"/>
            </w:tcBorders>
            <w:vAlign w:val="center"/>
          </w:tcPr>
          <w:p w14:paraId="41FA69F6">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center"/>
              <w:textAlignment w:val="auto"/>
              <w:rPr>
                <w:rFonts w:hint="eastAsia" w:ascii="宋体" w:hAnsi="宋体" w:eastAsia="宋体" w:cs="宋体"/>
                <w:kern w:val="0"/>
                <w:sz w:val="24"/>
                <w:szCs w:val="22"/>
                <w:lang w:val="en-US" w:eastAsia="zh-Hans" w:bidi="ar"/>
              </w:rPr>
            </w:pPr>
            <w:r>
              <w:rPr>
                <w:rFonts w:hint="eastAsia" w:ascii="宋体" w:hAnsi="宋体" w:eastAsia="宋体" w:cs="宋体"/>
                <w:kern w:val="0"/>
                <w:sz w:val="24"/>
                <w:szCs w:val="22"/>
                <w:lang w:val="en-US" w:eastAsia="zh-CN" w:bidi="ar"/>
              </w:rPr>
              <w:t>运维能力</w:t>
            </w:r>
          </w:p>
        </w:tc>
        <w:tc>
          <w:tcPr>
            <w:tcW w:w="2714" w:type="pct"/>
            <w:tcBorders>
              <w:top w:val="single" w:color="auto" w:sz="4" w:space="0"/>
              <w:left w:val="single" w:color="auto" w:sz="4" w:space="0"/>
              <w:right w:val="single" w:color="auto" w:sz="4" w:space="0"/>
            </w:tcBorders>
          </w:tcPr>
          <w:p w14:paraId="75C388A9">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0" w:firstLine="482"/>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在满足招标要求（3年质保、7×24h响应、4h紧急修复）基础上，提供更优承诺（如更长质保、更快响应）可加分。</w:t>
            </w:r>
          </w:p>
          <w:p w14:paraId="76A58BB2">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（1）完全满足基础要求（3分）</w:t>
            </w:r>
          </w:p>
          <w:p w14:paraId="180423A4">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（2）在基础要求上每提供一项更优承诺，加1分，累计最高加2分。</w:t>
            </w:r>
          </w:p>
        </w:tc>
        <w:tc>
          <w:tcPr>
            <w:tcW w:w="563" w:type="pct"/>
            <w:tcBorders>
              <w:top w:val="single" w:color="auto" w:sz="4" w:space="0"/>
              <w:left w:val="single" w:color="auto" w:sz="4" w:space="0"/>
              <w:bottom w:val="single" w:color="auto" w:sz="4" w:space="0"/>
              <w:right w:val="single" w:color="auto" w:sz="4" w:space="0"/>
            </w:tcBorders>
            <w:vAlign w:val="center"/>
          </w:tcPr>
          <w:p w14:paraId="71D81B46">
            <w:pPr>
              <w:pStyle w:val="38"/>
              <w:snapToGrid w:val="0"/>
              <w:spacing w:before="120" w:beforeAutospacing="0" w:after="120" w:afterAutospacing="0"/>
              <w:ind w:left="480" w:hanging="480"/>
              <w:jc w:val="center"/>
              <w:rPr>
                <w:rFonts w:hint="eastAsia" w:eastAsia="宋体"/>
                <w:kern w:val="2"/>
                <w:lang w:eastAsia="zh-CN"/>
              </w:rPr>
            </w:pPr>
            <w:r>
              <w:rPr>
                <w:rFonts w:hint="eastAsia"/>
                <w:kern w:val="2"/>
                <w:lang w:val="en-US" w:eastAsia="zh-CN"/>
              </w:rPr>
              <w:t>5</w:t>
            </w:r>
          </w:p>
        </w:tc>
      </w:tr>
      <w:tr w14:paraId="1063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right w:val="single" w:color="auto" w:sz="4" w:space="0"/>
            </w:tcBorders>
            <w:vAlign w:val="center"/>
          </w:tcPr>
          <w:p w14:paraId="5BF389B3">
            <w:pPr>
              <w:pStyle w:val="38"/>
              <w:snapToGrid w:val="0"/>
              <w:spacing w:before="120" w:beforeAutospacing="0" w:after="120" w:afterAutospacing="0"/>
              <w:ind w:left="480" w:hanging="480"/>
              <w:rPr>
                <w:rFonts w:hint="eastAsia"/>
              </w:rPr>
            </w:pPr>
          </w:p>
        </w:tc>
        <w:tc>
          <w:tcPr>
            <w:tcW w:w="978" w:type="pct"/>
            <w:tcBorders>
              <w:top w:val="single" w:color="auto" w:sz="4" w:space="0"/>
              <w:left w:val="single" w:color="auto" w:sz="4" w:space="0"/>
              <w:right w:val="single" w:color="auto" w:sz="4" w:space="0"/>
            </w:tcBorders>
            <w:vAlign w:val="center"/>
          </w:tcPr>
          <w:p w14:paraId="73432087">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center"/>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实施方案及培训方案</w:t>
            </w:r>
          </w:p>
        </w:tc>
        <w:tc>
          <w:tcPr>
            <w:tcW w:w="2714" w:type="pct"/>
            <w:tcBorders>
              <w:top w:val="single" w:color="auto" w:sz="4" w:space="0"/>
              <w:left w:val="single" w:color="auto" w:sz="4" w:space="0"/>
              <w:right w:val="single" w:color="auto" w:sz="4" w:space="0"/>
            </w:tcBorders>
          </w:tcPr>
          <w:p w14:paraId="22F21525">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0" w:firstLine="482"/>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对实施计划、数据迁移方案、风险控制、培训覆盖及内容安排进行评价。</w:t>
            </w:r>
          </w:p>
          <w:p w14:paraId="424C3543">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（1）实施方案（3分）：实施计划科学合理，关键节点明确（部署、数据迁移、试运行、验收），人员配备充足，风险控制措施完善，得3分；方案一般得1-2分。</w:t>
            </w:r>
          </w:p>
          <w:p w14:paraId="6E74BF0F">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（2）培训方案（2分）：培训内容覆盖管理员、财务、资产管理员、普通用户等角色，提供现场培训不少于3场，同时提供培训视频及手册，得2分；不足酌情扣分。</w:t>
            </w:r>
          </w:p>
        </w:tc>
        <w:tc>
          <w:tcPr>
            <w:tcW w:w="563" w:type="pct"/>
            <w:tcBorders>
              <w:top w:val="single" w:color="auto" w:sz="4" w:space="0"/>
              <w:left w:val="single" w:color="auto" w:sz="4" w:space="0"/>
              <w:bottom w:val="single" w:color="auto" w:sz="4" w:space="0"/>
              <w:right w:val="single" w:color="auto" w:sz="4" w:space="0"/>
            </w:tcBorders>
            <w:vAlign w:val="center"/>
          </w:tcPr>
          <w:p w14:paraId="7C95CB01">
            <w:pPr>
              <w:pStyle w:val="38"/>
              <w:snapToGrid w:val="0"/>
              <w:spacing w:before="120" w:beforeAutospacing="0" w:after="120" w:afterAutospacing="0"/>
              <w:ind w:left="480" w:hanging="480"/>
              <w:jc w:val="center"/>
              <w:rPr>
                <w:rFonts w:hint="eastAsia" w:eastAsia="宋体"/>
                <w:kern w:val="2"/>
                <w:lang w:val="en-US" w:eastAsia="zh-CN"/>
              </w:rPr>
            </w:pPr>
            <w:r>
              <w:rPr>
                <w:rFonts w:hint="eastAsia"/>
                <w:kern w:val="2"/>
                <w:lang w:val="en-US" w:eastAsia="zh-CN"/>
              </w:rPr>
              <w:t>5</w:t>
            </w:r>
          </w:p>
        </w:tc>
      </w:tr>
      <w:tr w14:paraId="2D84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44" w:type="pct"/>
            <w:vMerge w:val="restart"/>
            <w:tcBorders>
              <w:top w:val="single" w:color="auto" w:sz="4" w:space="0"/>
              <w:left w:val="single" w:color="auto" w:sz="4" w:space="0"/>
              <w:right w:val="single" w:color="auto" w:sz="4" w:space="0"/>
            </w:tcBorders>
            <w:vAlign w:val="center"/>
          </w:tcPr>
          <w:p w14:paraId="00B2AD3B">
            <w:pPr>
              <w:pStyle w:val="38"/>
              <w:snapToGrid w:val="0"/>
              <w:spacing w:before="120" w:beforeAutospacing="0" w:after="120" w:afterAutospacing="0"/>
              <w:ind w:left="480" w:hanging="480"/>
              <w:jc w:val="center"/>
              <w:rPr>
                <w:rFonts w:hint="eastAsia"/>
              </w:rPr>
            </w:pPr>
            <w:r>
              <w:rPr>
                <w:rFonts w:hint="eastAsia"/>
              </w:rPr>
              <w:t>商务部分</w:t>
            </w:r>
          </w:p>
          <w:p w14:paraId="61AC50F3">
            <w:pPr>
              <w:pStyle w:val="38"/>
              <w:snapToGrid w:val="0"/>
              <w:spacing w:before="120" w:beforeAutospacing="0" w:after="120" w:afterAutospacing="0"/>
              <w:ind w:left="480" w:hanging="480"/>
              <w:jc w:val="center"/>
              <w:rPr>
                <w:rFonts w:hint="eastAsia"/>
              </w:rPr>
            </w:pPr>
            <w:r>
              <w:rPr>
                <w:rFonts w:hint="eastAsia"/>
              </w:rPr>
              <w:t>（</w:t>
            </w:r>
            <w:r>
              <w:rPr>
                <w:rFonts w:hint="eastAsia"/>
                <w:lang w:val="en-US" w:eastAsia="zh-CN"/>
              </w:rPr>
              <w:t>10</w:t>
            </w:r>
            <w:r>
              <w:rPr>
                <w:rFonts w:hint="eastAsia"/>
              </w:rPr>
              <w:t>分）</w:t>
            </w:r>
          </w:p>
        </w:tc>
        <w:tc>
          <w:tcPr>
            <w:tcW w:w="978" w:type="pct"/>
            <w:tcBorders>
              <w:top w:val="single" w:color="auto" w:sz="4" w:space="0"/>
              <w:left w:val="single" w:color="auto" w:sz="4" w:space="0"/>
              <w:right w:val="single" w:color="auto" w:sz="4" w:space="0"/>
            </w:tcBorders>
            <w:vAlign w:val="center"/>
          </w:tcPr>
          <w:p w14:paraId="2AAA740A">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center"/>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公司资质与同类业绩</w:t>
            </w:r>
          </w:p>
        </w:tc>
        <w:tc>
          <w:tcPr>
            <w:tcW w:w="2714" w:type="pct"/>
            <w:tcBorders>
              <w:top w:val="single" w:color="auto" w:sz="4" w:space="0"/>
              <w:left w:val="single" w:color="auto" w:sz="4" w:space="0"/>
              <w:right w:val="single" w:color="auto" w:sz="4" w:space="0"/>
            </w:tcBorders>
          </w:tcPr>
          <w:p w14:paraId="5F050FD6">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提供近三年高校固定资产管理系统成功案例，每个案例1分，满分3分</w:t>
            </w:r>
          </w:p>
        </w:tc>
        <w:tc>
          <w:tcPr>
            <w:tcW w:w="563" w:type="pct"/>
            <w:tcBorders>
              <w:top w:val="single" w:color="auto" w:sz="4" w:space="0"/>
              <w:left w:val="single" w:color="auto" w:sz="4" w:space="0"/>
              <w:bottom w:val="single" w:color="auto" w:sz="4" w:space="0"/>
              <w:right w:val="single" w:color="auto" w:sz="4" w:space="0"/>
            </w:tcBorders>
            <w:vAlign w:val="center"/>
          </w:tcPr>
          <w:p w14:paraId="603D5F7B">
            <w:pPr>
              <w:pStyle w:val="38"/>
              <w:snapToGrid w:val="0"/>
              <w:spacing w:before="120" w:beforeAutospacing="0" w:after="120" w:afterAutospacing="0"/>
              <w:ind w:left="480" w:hanging="480"/>
              <w:jc w:val="center"/>
              <w:rPr>
                <w:rFonts w:hint="eastAsia" w:eastAsia="宋体"/>
                <w:kern w:val="2"/>
                <w:lang w:eastAsia="zh-CN"/>
              </w:rPr>
            </w:pPr>
            <w:r>
              <w:rPr>
                <w:rFonts w:hint="eastAsia"/>
                <w:lang w:val="en-US" w:eastAsia="zh-CN"/>
              </w:rPr>
              <w:t>3</w:t>
            </w:r>
          </w:p>
        </w:tc>
      </w:tr>
      <w:tr w14:paraId="5B65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744" w:type="pct"/>
            <w:vMerge w:val="continue"/>
            <w:tcBorders>
              <w:left w:val="single" w:color="auto" w:sz="4" w:space="0"/>
              <w:right w:val="single" w:color="auto" w:sz="4" w:space="0"/>
            </w:tcBorders>
            <w:vAlign w:val="center"/>
          </w:tcPr>
          <w:p w14:paraId="5A4FC78C">
            <w:pPr>
              <w:pStyle w:val="38"/>
              <w:snapToGrid w:val="0"/>
              <w:spacing w:before="120" w:beforeAutospacing="0" w:after="120" w:afterAutospacing="0"/>
              <w:ind w:left="480" w:hanging="480"/>
              <w:rPr>
                <w:rFonts w:hint="eastAsia"/>
              </w:rPr>
            </w:pPr>
          </w:p>
        </w:tc>
        <w:tc>
          <w:tcPr>
            <w:tcW w:w="978" w:type="pct"/>
            <w:tcBorders>
              <w:left w:val="single" w:color="auto" w:sz="4" w:space="0"/>
              <w:right w:val="single" w:color="auto" w:sz="4" w:space="0"/>
            </w:tcBorders>
            <w:vAlign w:val="center"/>
          </w:tcPr>
          <w:p w14:paraId="41A73EF2">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center"/>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履约信誉及质保期外服务</w:t>
            </w:r>
          </w:p>
        </w:tc>
        <w:tc>
          <w:tcPr>
            <w:tcW w:w="2714" w:type="pct"/>
            <w:tcBorders>
              <w:top w:val="single" w:color="auto" w:sz="4" w:space="0"/>
              <w:left w:val="single" w:color="auto" w:sz="4" w:space="0"/>
              <w:right w:val="single" w:color="auto" w:sz="4" w:space="0"/>
            </w:tcBorders>
            <w:vAlign w:val="center"/>
          </w:tcPr>
          <w:p w14:paraId="10B8CE72">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（1）提供质保期外终身免费安全漏洞修复及技术指导承诺书2分；</w:t>
            </w:r>
          </w:p>
          <w:p w14:paraId="3C7CA8AA">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（3）提供项目团队核心成员（项目经理、技术负责人）的相关认证证书）1分；</w:t>
            </w:r>
          </w:p>
          <w:p w14:paraId="6A871B61">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（4）提供针对本项目的售后服务方案，含故障响应流程、备件库说明等，方案详细可行1分；</w:t>
            </w:r>
          </w:p>
          <w:p w14:paraId="0AB313D4">
            <w:pPr>
              <w:pStyle w:val="38"/>
              <w:keepNext w:val="0"/>
              <w:keepLines w:val="0"/>
              <w:pageBreakBefore w:val="0"/>
              <w:widowControl/>
              <w:kinsoku/>
              <w:wordWrap/>
              <w:overflowPunct/>
              <w:topLinePunct w:val="0"/>
              <w:autoSpaceDE/>
              <w:autoSpaceDN/>
              <w:bidi w:val="0"/>
              <w:adjustRightInd/>
              <w:snapToGrid w:val="0"/>
              <w:spacing w:before="120" w:beforeAutospacing="0" w:after="120" w:afterAutospacing="0" w:line="280" w:lineRule="exact"/>
              <w:ind w:left="482" w:hanging="482"/>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（5）提供与金蝶软件接口对接相关函件3分。</w:t>
            </w:r>
          </w:p>
        </w:tc>
        <w:tc>
          <w:tcPr>
            <w:tcW w:w="563" w:type="pct"/>
            <w:tcBorders>
              <w:top w:val="single" w:color="auto" w:sz="4" w:space="0"/>
              <w:left w:val="single" w:color="auto" w:sz="4" w:space="0"/>
              <w:bottom w:val="single" w:color="auto" w:sz="4" w:space="0"/>
              <w:right w:val="single" w:color="auto" w:sz="4" w:space="0"/>
            </w:tcBorders>
            <w:vAlign w:val="center"/>
          </w:tcPr>
          <w:p w14:paraId="130C56A7">
            <w:pPr>
              <w:pStyle w:val="38"/>
              <w:snapToGrid w:val="0"/>
              <w:spacing w:before="120" w:beforeAutospacing="0" w:after="120" w:afterAutospacing="0"/>
              <w:ind w:left="480" w:hanging="480"/>
              <w:jc w:val="center"/>
              <w:rPr>
                <w:rFonts w:hint="eastAsia" w:eastAsia="宋体"/>
                <w:lang w:eastAsia="zh-CN"/>
              </w:rPr>
            </w:pPr>
            <w:r>
              <w:rPr>
                <w:rFonts w:hint="eastAsia"/>
                <w:lang w:val="en-US" w:eastAsia="zh-CN"/>
              </w:rPr>
              <w:t>7</w:t>
            </w:r>
          </w:p>
        </w:tc>
      </w:tr>
      <w:tr w14:paraId="0C66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tcBorders>
              <w:left w:val="single" w:color="auto" w:sz="4" w:space="0"/>
              <w:bottom w:val="single" w:color="auto" w:sz="4" w:space="0"/>
              <w:right w:val="single" w:color="auto" w:sz="4" w:space="0"/>
            </w:tcBorders>
            <w:vAlign w:val="center"/>
          </w:tcPr>
          <w:p w14:paraId="3D69EB84">
            <w:pPr>
              <w:pStyle w:val="38"/>
              <w:snapToGrid w:val="0"/>
              <w:spacing w:before="120" w:beforeAutospacing="0" w:after="120" w:afterAutospacing="0"/>
              <w:ind w:left="480" w:hanging="480"/>
              <w:jc w:val="center"/>
              <w:rPr>
                <w:rFonts w:hint="eastAsia"/>
              </w:rPr>
            </w:pPr>
            <w:r>
              <w:rPr>
                <w:rFonts w:hint="eastAsia"/>
              </w:rPr>
              <w:t>合计</w:t>
            </w:r>
          </w:p>
        </w:tc>
        <w:tc>
          <w:tcPr>
            <w:tcW w:w="978" w:type="pct"/>
            <w:tcBorders>
              <w:left w:val="single" w:color="auto" w:sz="4" w:space="0"/>
              <w:bottom w:val="single" w:color="auto" w:sz="4" w:space="0"/>
              <w:right w:val="single" w:color="auto" w:sz="4" w:space="0"/>
            </w:tcBorders>
            <w:vAlign w:val="center"/>
          </w:tcPr>
          <w:p w14:paraId="237CFEFF">
            <w:pPr>
              <w:pStyle w:val="38"/>
              <w:snapToGrid w:val="0"/>
              <w:spacing w:before="120" w:beforeAutospacing="0" w:after="120" w:afterAutospacing="0"/>
              <w:ind w:left="480" w:hanging="480"/>
              <w:rPr>
                <w:rFonts w:hint="eastAsia"/>
              </w:rPr>
            </w:pPr>
          </w:p>
        </w:tc>
        <w:tc>
          <w:tcPr>
            <w:tcW w:w="2714" w:type="pct"/>
            <w:tcBorders>
              <w:top w:val="single" w:color="auto" w:sz="4" w:space="0"/>
              <w:left w:val="single" w:color="auto" w:sz="4" w:space="0"/>
              <w:bottom w:val="single" w:color="auto" w:sz="4" w:space="0"/>
              <w:right w:val="single" w:color="auto" w:sz="4" w:space="0"/>
            </w:tcBorders>
            <w:vAlign w:val="center"/>
          </w:tcPr>
          <w:p w14:paraId="0D4F4086">
            <w:pPr>
              <w:pStyle w:val="38"/>
              <w:snapToGrid w:val="0"/>
              <w:spacing w:before="120" w:beforeAutospacing="0" w:after="120" w:afterAutospacing="0"/>
              <w:ind w:left="480" w:hanging="480"/>
              <w:rPr>
                <w:rFonts w:hint="eastAsia"/>
              </w:rPr>
            </w:pPr>
          </w:p>
        </w:tc>
        <w:tc>
          <w:tcPr>
            <w:tcW w:w="563" w:type="pct"/>
            <w:tcBorders>
              <w:top w:val="single" w:color="auto" w:sz="4" w:space="0"/>
              <w:left w:val="single" w:color="auto" w:sz="4" w:space="0"/>
              <w:bottom w:val="single" w:color="auto" w:sz="4" w:space="0"/>
              <w:right w:val="single" w:color="auto" w:sz="4" w:space="0"/>
            </w:tcBorders>
            <w:vAlign w:val="center"/>
          </w:tcPr>
          <w:p w14:paraId="346B1DE3">
            <w:pPr>
              <w:pStyle w:val="38"/>
              <w:snapToGrid w:val="0"/>
              <w:spacing w:before="120" w:beforeAutospacing="0" w:after="120" w:afterAutospacing="0"/>
              <w:ind w:left="480" w:hanging="480"/>
              <w:jc w:val="center"/>
              <w:rPr>
                <w:rFonts w:hint="eastAsia"/>
              </w:rPr>
            </w:pPr>
            <w:r>
              <w:fldChar w:fldCharType="begin"/>
            </w:r>
            <w:r>
              <w:instrText xml:space="preserve"> =SUM(ABOVE) </w:instrText>
            </w:r>
            <w:r>
              <w:fldChar w:fldCharType="separate"/>
            </w:r>
            <w:r>
              <w:t>100</w:t>
            </w:r>
            <w:r>
              <w:fldChar w:fldCharType="end"/>
            </w:r>
          </w:p>
        </w:tc>
      </w:tr>
      <w:bookmarkEnd w:id="222"/>
    </w:tbl>
    <w:p w14:paraId="0A77F921">
      <w:pPr>
        <w:shd w:val="clear"/>
        <w:spacing w:line="520" w:lineRule="exact"/>
        <w:ind w:firstLine="640" w:firstLineChars="200"/>
        <w:rPr>
          <w:rFonts w:hint="eastAsia" w:ascii="Times New Roman" w:hAnsi="Times New Roman" w:eastAsia="方正仿宋_GBK" w:cs="Times New Roman"/>
          <w:bCs/>
          <w:color w:val="auto"/>
          <w:kern w:val="0"/>
          <w:sz w:val="32"/>
          <w:szCs w:val="32"/>
          <w:highlight w:val="none"/>
          <w:lang w:val="en-US" w:eastAsia="zh-CN" w:bidi="en-US"/>
        </w:rPr>
      </w:pPr>
    </w:p>
    <w:p w14:paraId="0E2D813C">
      <w:pPr>
        <w:shd w:val="clear"/>
        <w:spacing w:line="520" w:lineRule="exact"/>
        <w:ind w:firstLine="640" w:firstLineChars="200"/>
        <w:rPr>
          <w:rFonts w:hint="eastAsia" w:ascii="Times New Roman" w:hAnsi="Times New Roman" w:eastAsia="方正仿宋_GBK" w:cs="Times New Roman"/>
          <w:bCs/>
          <w:color w:val="auto"/>
          <w:kern w:val="0"/>
          <w:sz w:val="32"/>
          <w:szCs w:val="32"/>
          <w:highlight w:val="none"/>
          <w:lang w:val="en-US" w:eastAsia="zh-CN" w:bidi="en-US"/>
        </w:rPr>
      </w:pPr>
    </w:p>
    <w:p w14:paraId="3E709EA5">
      <w:pPr>
        <w:shd w:val="clear"/>
        <w:spacing w:line="520" w:lineRule="exact"/>
        <w:ind w:firstLine="640" w:firstLineChars="200"/>
        <w:rPr>
          <w:rFonts w:hint="eastAsia" w:ascii="Times New Roman" w:hAnsi="Times New Roman" w:eastAsia="方正仿宋_GBK" w:cs="Times New Roman"/>
          <w:bCs/>
          <w:color w:val="auto"/>
          <w:kern w:val="0"/>
          <w:sz w:val="32"/>
          <w:szCs w:val="32"/>
          <w:highlight w:val="none"/>
          <w:lang w:val="en-US" w:eastAsia="zh-CN" w:bidi="en-US"/>
        </w:rPr>
      </w:pPr>
    </w:p>
    <w:p w14:paraId="49A2B51D">
      <w:pPr>
        <w:rPr>
          <w:rFonts w:hint="eastAsia" w:ascii="方正小标宋_GBK" w:hAnsi="方正小标宋_GBK" w:eastAsia="方正小标宋_GBK" w:cs="方正小标宋_GBK"/>
          <w:b w:val="0"/>
          <w:bCs w:val="0"/>
          <w:highlight w:val="none"/>
        </w:rPr>
      </w:pPr>
      <w:bookmarkStart w:id="223" w:name="_第五章 投标文件格式"/>
      <w:r>
        <w:rPr>
          <w:rFonts w:hint="eastAsia" w:ascii="方正小标宋_GBK" w:hAnsi="方正小标宋_GBK" w:eastAsia="方正小标宋_GBK" w:cs="方正小标宋_GBK"/>
          <w:b w:val="0"/>
          <w:bCs w:val="0"/>
          <w:highlight w:val="none"/>
        </w:rPr>
        <w:br w:type="page"/>
      </w:r>
    </w:p>
    <w:p w14:paraId="6A041025">
      <w:pPr>
        <w:pStyle w:val="2"/>
        <w:numPr>
          <w:ilvl w:val="0"/>
          <w:numId w:val="0"/>
        </w:numPr>
        <w:spacing w:before="0" w:after="0" w:line="520" w:lineRule="exact"/>
        <w:jc w:val="cente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t>第五章 投标文件格式</w:t>
      </w:r>
      <w:bookmarkEnd w:id="218"/>
      <w:bookmarkEnd w:id="219"/>
      <w:bookmarkEnd w:id="220"/>
      <w:bookmarkEnd w:id="221"/>
    </w:p>
    <w:bookmarkEnd w:id="223"/>
    <w:p w14:paraId="38EC56DA">
      <w:pPr>
        <w:spacing w:line="520" w:lineRule="exact"/>
        <w:rPr>
          <w:rFonts w:hint="eastAsia" w:ascii="仿宋" w:hAnsi="仿宋" w:eastAsia="仿宋" w:cs="仿宋"/>
          <w:b/>
          <w:sz w:val="28"/>
          <w:szCs w:val="28"/>
          <w:highlight w:val="none"/>
        </w:rPr>
      </w:pPr>
      <w:bookmarkStart w:id="224" w:name="_Toc217446082"/>
      <w:bookmarkStart w:id="225" w:name="_Toc425408086"/>
      <w:r>
        <w:rPr>
          <w:rFonts w:hint="eastAsia" w:ascii="仿宋" w:hAnsi="仿宋" w:eastAsia="仿宋" w:cs="仿宋"/>
          <w:b/>
          <w:sz w:val="28"/>
          <w:szCs w:val="28"/>
          <w:highlight w:val="none"/>
        </w:rPr>
        <w:t>一、投 标 函</w:t>
      </w:r>
      <w:bookmarkEnd w:id="224"/>
      <w:bookmarkEnd w:id="225"/>
    </w:p>
    <w:p w14:paraId="5DCCB9E4">
      <w:pPr>
        <w:spacing w:line="52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（采购人）：</w:t>
      </w:r>
    </w:p>
    <w:p w14:paraId="120451B9">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我方全面研究了“  ”项目招标文件，决定参加贵单位组织的本项目投标。我方授权（姓名、职务）代表我方（投标单位的名称）全权处理本项目投标的有关事宜。</w:t>
      </w:r>
    </w:p>
    <w:p w14:paraId="4ABFDD47">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1.我方自愿按照招标文件规定的各项要求向采购人提供所需货物/服务，总投标价为人民币    万元（大写：）。</w:t>
      </w:r>
    </w:p>
    <w:p w14:paraId="3D98DA0A">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2.一旦我方中标，我方将严格履行合同规定的责任和义务，保证于合同签字生效后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日内完成项目的安装、调试，并交付采购人验收、使用。</w:t>
      </w:r>
    </w:p>
    <w:p w14:paraId="2BF18508">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3.我方为本项目提交的投标文件正本</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一</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份，副本</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二</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份，用于开标唱标的“开标一览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一</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w:t>
      </w:r>
    </w:p>
    <w:p w14:paraId="6B893DC0">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4.我方愿意提供贵单位可能另外要求的，与投标有关的文件资料，并保证我方已提供和将要提供的文件资料是真实、准确的。</w:t>
      </w:r>
    </w:p>
    <w:p w14:paraId="0B12D149">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5.我方完全理解采购人不一定将合同授予最低报价的投标人的行为。</w:t>
      </w:r>
    </w:p>
    <w:p w14:paraId="6BF38B99">
      <w:pPr>
        <w:spacing w:line="520" w:lineRule="exact"/>
        <w:ind w:firstLine="537" w:firstLineChars="192"/>
        <w:rPr>
          <w:rFonts w:hint="eastAsia" w:ascii="仿宋" w:hAnsi="仿宋" w:eastAsia="仿宋" w:cs="仿宋"/>
          <w:sz w:val="28"/>
          <w:szCs w:val="28"/>
          <w:highlight w:val="none"/>
        </w:rPr>
      </w:pPr>
    </w:p>
    <w:p w14:paraId="793F619E">
      <w:pPr>
        <w:spacing w:line="520" w:lineRule="exact"/>
        <w:ind w:firstLine="537" w:firstLineChars="192"/>
        <w:rPr>
          <w:rFonts w:hint="eastAsia" w:ascii="仿宋" w:hAnsi="仿宋" w:eastAsia="仿宋" w:cs="仿宋"/>
          <w:sz w:val="28"/>
          <w:szCs w:val="28"/>
          <w:highlight w:val="none"/>
        </w:rPr>
      </w:pPr>
    </w:p>
    <w:p w14:paraId="0F90E01D">
      <w:pPr>
        <w:spacing w:line="520" w:lineRule="exact"/>
        <w:ind w:firstLine="537" w:firstLineChars="192"/>
        <w:rPr>
          <w:rFonts w:hint="eastAsia" w:ascii="仿宋" w:hAnsi="仿宋" w:eastAsia="仿宋" w:cs="仿宋"/>
          <w:sz w:val="28"/>
          <w:szCs w:val="28"/>
          <w:highlight w:val="none"/>
        </w:rPr>
      </w:pPr>
    </w:p>
    <w:p w14:paraId="483768F7">
      <w:pPr>
        <w:spacing w:line="520" w:lineRule="exact"/>
        <w:rPr>
          <w:rFonts w:hint="eastAsia" w:ascii="仿宋" w:hAnsi="仿宋" w:eastAsia="仿宋" w:cs="仿宋"/>
          <w:sz w:val="28"/>
          <w:szCs w:val="28"/>
          <w:highlight w:val="none"/>
        </w:rPr>
      </w:pPr>
    </w:p>
    <w:p w14:paraId="77D0E00B">
      <w:pPr>
        <w:spacing w:line="520" w:lineRule="exact"/>
        <w:rPr>
          <w:rFonts w:hint="eastAsia" w:ascii="仿宋" w:hAnsi="仿宋" w:eastAsia="仿宋" w:cs="仿宋"/>
          <w:sz w:val="28"/>
          <w:szCs w:val="28"/>
          <w:highlight w:val="none"/>
        </w:rPr>
      </w:pPr>
    </w:p>
    <w:p w14:paraId="11891FBA">
      <w:pPr>
        <w:spacing w:line="520" w:lineRule="exact"/>
        <w:rPr>
          <w:rFonts w:hint="eastAsia" w:ascii="仿宋" w:hAnsi="仿宋" w:eastAsia="仿宋" w:cs="仿宋"/>
          <w:sz w:val="28"/>
          <w:szCs w:val="28"/>
          <w:highlight w:val="none"/>
        </w:rPr>
      </w:pPr>
    </w:p>
    <w:p w14:paraId="10C2AE1D">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投标人名称（盖章）：        </w:t>
      </w:r>
    </w:p>
    <w:p w14:paraId="179E54F8">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法定代表人或授权代表（签字）：</w:t>
      </w:r>
    </w:p>
    <w:p w14:paraId="302E7E0B">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622D6D8C">
      <w:pPr>
        <w:spacing w:line="520" w:lineRule="exact"/>
        <w:rPr>
          <w:rFonts w:hint="eastAsia" w:ascii="仿宋" w:hAnsi="仿宋" w:eastAsia="仿宋" w:cs="仿宋"/>
          <w:b/>
          <w:sz w:val="28"/>
          <w:szCs w:val="28"/>
          <w:highlight w:val="none"/>
        </w:rPr>
      </w:pPr>
      <w:bookmarkStart w:id="226" w:name="_Toc425408087"/>
    </w:p>
    <w:p w14:paraId="666D49E9">
      <w:pPr>
        <w:spacing w:line="52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rPr>
        <w:t>二、法定代表人授权书</w:t>
      </w:r>
      <w:bookmarkEnd w:id="226"/>
    </w:p>
    <w:p w14:paraId="09B966A2">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__________________（采购人）：</w:t>
      </w:r>
    </w:p>
    <w:p w14:paraId="28A3196A">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本授权声明：（投标人名称）（法定代表人姓名、职务）授权（被授权人姓名、职务）为我方 “ ” 项目投标活动的合法代表，以我方名义全权处理该项目有关投标、签订合同以及执行合同等一切事宜。</w:t>
      </w:r>
    </w:p>
    <w:p w14:paraId="1412B2B4">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3D117379">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w:t>
      </w:r>
    </w:p>
    <w:p w14:paraId="6187B768">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授权代表签字：</w:t>
      </w:r>
    </w:p>
    <w:p w14:paraId="2E93F171">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投标人名称（盖章）：         </w:t>
      </w:r>
    </w:p>
    <w:p w14:paraId="2AD942DD">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23376334">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附：法定代表人</w:t>
      </w:r>
      <w:r>
        <w:rPr>
          <w:rFonts w:hint="eastAsia" w:ascii="仿宋" w:hAnsi="仿宋" w:eastAsia="仿宋" w:cs="仿宋"/>
          <w:sz w:val="28"/>
          <w:szCs w:val="28"/>
          <w:highlight w:val="none"/>
          <w:lang w:val="en-US" w:eastAsia="zh-CN"/>
        </w:rPr>
        <w:t>及被授权人</w:t>
      </w:r>
      <w:r>
        <w:rPr>
          <w:rFonts w:hint="eastAsia" w:ascii="仿宋" w:hAnsi="仿宋" w:eastAsia="仿宋" w:cs="仿宋"/>
          <w:sz w:val="28"/>
          <w:szCs w:val="28"/>
          <w:highlight w:val="none"/>
        </w:rPr>
        <w:t>身份证身印件　　</w:t>
      </w:r>
    </w:p>
    <w:p w14:paraId="6F63E294">
      <w:pPr>
        <w:spacing w:line="520" w:lineRule="exact"/>
        <w:ind w:firstLine="537" w:firstLineChars="192"/>
        <w:rPr>
          <w:rFonts w:hint="eastAsia" w:ascii="仿宋" w:hAnsi="仿宋" w:eastAsia="仿宋" w:cs="仿宋"/>
          <w:sz w:val="28"/>
          <w:szCs w:val="28"/>
          <w:highlight w:val="none"/>
        </w:rPr>
      </w:pPr>
    </w:p>
    <w:p w14:paraId="76D7CAC3">
      <w:pPr>
        <w:pStyle w:val="23"/>
        <w:spacing w:line="52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（若法定代表人亲自参加投标活动，需提供法定代表人身份证明，格式如下）</w:t>
      </w:r>
    </w:p>
    <w:p w14:paraId="4F8A8B28">
      <w:pPr>
        <w:pStyle w:val="38"/>
        <w:spacing w:line="520" w:lineRule="exact"/>
        <w:jc w:val="center"/>
        <w:rPr>
          <w:rFonts w:hint="eastAsia" w:ascii="仿宋" w:hAnsi="仿宋" w:eastAsia="仿宋" w:cs="仿宋"/>
          <w:sz w:val="28"/>
          <w:szCs w:val="28"/>
          <w:highlight w:val="none"/>
        </w:rPr>
      </w:pPr>
      <w:r>
        <w:rPr>
          <w:rStyle w:val="45"/>
          <w:rFonts w:hint="eastAsia" w:ascii="仿宋" w:hAnsi="仿宋" w:eastAsia="仿宋" w:cs="仿宋"/>
          <w:sz w:val="28"/>
          <w:szCs w:val="28"/>
          <w:highlight w:val="none"/>
        </w:rPr>
        <w:t>法定代表人身份证明书</w:t>
      </w:r>
    </w:p>
    <w:p w14:paraId="1109622A">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×××（姓名、性别、年龄）在我公司（或者企业、单位）任×××（董事长、总经理等）职务，是我公司（或者企业、单位）的法定代表人。　　</w:t>
      </w:r>
    </w:p>
    <w:p w14:paraId="30079690">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特此证明。　　</w:t>
      </w:r>
    </w:p>
    <w:p w14:paraId="49D845A7">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×××公司（单位全称加盖公章） 　　</w:t>
      </w:r>
    </w:p>
    <w:p w14:paraId="08F50165">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×年×月×日 　　</w:t>
      </w:r>
    </w:p>
    <w:p w14:paraId="3A433E7B">
      <w:pPr>
        <w:spacing w:line="520" w:lineRule="exact"/>
        <w:ind w:firstLine="560" w:firstLineChars="200"/>
        <w:rPr>
          <w:rFonts w:hint="eastAsia" w:ascii="仿宋" w:hAnsi="仿宋" w:eastAsia="仿宋" w:cs="仿宋"/>
          <w:sz w:val="28"/>
          <w:szCs w:val="28"/>
          <w:highlight w:val="none"/>
        </w:rPr>
      </w:pPr>
    </w:p>
    <w:p w14:paraId="40C0D6C4">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法定代表人住址： 　　</w:t>
      </w:r>
    </w:p>
    <w:p w14:paraId="40FBEE20">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电话： </w:t>
      </w:r>
    </w:p>
    <w:p w14:paraId="1BEB220F">
      <w:pPr>
        <w:spacing w:line="5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附：法定代表人身份证身印件　　</w:t>
      </w:r>
    </w:p>
    <w:p w14:paraId="53A118F7">
      <w:pPr>
        <w:spacing w:line="500" w:lineRule="exact"/>
        <w:ind w:firstLine="463" w:firstLineChars="192"/>
        <w:rPr>
          <w:rFonts w:hint="eastAsia" w:asciiTheme="minorEastAsia" w:hAnsiTheme="minorEastAsia" w:eastAsiaTheme="minorEastAsia"/>
          <w:b/>
          <w:szCs w:val="28"/>
          <w:highlight w:val="none"/>
        </w:rPr>
        <w:sectPr>
          <w:headerReference r:id="rId3" w:type="default"/>
          <w:footerReference r:id="rId4" w:type="default"/>
          <w:pgSz w:w="11907" w:h="16840"/>
          <w:pgMar w:top="1440" w:right="1466" w:bottom="1440" w:left="1440" w:header="851" w:footer="992" w:gutter="0"/>
          <w:cols w:space="425" w:num="1"/>
          <w:docGrid w:linePitch="312" w:charSpace="0"/>
        </w:sectPr>
      </w:pPr>
    </w:p>
    <w:p w14:paraId="0DB15EB0">
      <w:pPr>
        <w:autoSpaceDE w:val="0"/>
        <w:autoSpaceDN w:val="0"/>
        <w:adjustRightInd w:val="0"/>
        <w:snapToGrid w:val="0"/>
        <w:spacing w:line="360" w:lineRule="auto"/>
        <w:jc w:val="left"/>
        <w:outlineLvl w:val="1"/>
        <w:rPr>
          <w:rFonts w:hint="eastAsia" w:ascii="仿宋" w:hAnsi="仿宋" w:eastAsia="仿宋" w:cs="仿宋"/>
          <w:b/>
          <w:w w:val="99"/>
          <w:kern w:val="0"/>
          <w:sz w:val="28"/>
          <w:szCs w:val="28"/>
          <w:highlight w:val="none"/>
          <w:lang w:val="zh-CN"/>
        </w:rPr>
      </w:pPr>
      <w:r>
        <w:rPr>
          <w:rFonts w:hint="eastAsia" w:ascii="仿宋" w:hAnsi="仿宋" w:eastAsia="仿宋" w:cs="仿宋"/>
          <w:b/>
          <w:w w:val="99"/>
          <w:kern w:val="0"/>
          <w:sz w:val="28"/>
          <w:szCs w:val="28"/>
          <w:highlight w:val="none"/>
          <w:lang w:val="zh-CN"/>
        </w:rPr>
        <w:t>三、投标人基本情况表</w:t>
      </w:r>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2338C5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688A4EC4">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投标人名称</w:t>
            </w:r>
          </w:p>
        </w:tc>
        <w:tc>
          <w:tcPr>
            <w:tcW w:w="7308" w:type="dxa"/>
            <w:gridSpan w:val="9"/>
            <w:vAlign w:val="center"/>
          </w:tcPr>
          <w:p w14:paraId="1CFCA453">
            <w:pPr>
              <w:spacing w:line="500" w:lineRule="exact"/>
              <w:rPr>
                <w:rFonts w:hint="eastAsia" w:ascii="宋体" w:hAnsi="宋体" w:cs="宋体"/>
                <w:kern w:val="0"/>
                <w:sz w:val="21"/>
                <w:szCs w:val="21"/>
                <w:highlight w:val="none"/>
              </w:rPr>
            </w:pPr>
          </w:p>
        </w:tc>
      </w:tr>
      <w:tr w14:paraId="54721C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540E747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注册地址</w:t>
            </w:r>
          </w:p>
        </w:tc>
        <w:tc>
          <w:tcPr>
            <w:tcW w:w="3165" w:type="dxa"/>
            <w:gridSpan w:val="5"/>
            <w:vAlign w:val="center"/>
          </w:tcPr>
          <w:p w14:paraId="49969866">
            <w:pPr>
              <w:spacing w:line="500" w:lineRule="exact"/>
              <w:rPr>
                <w:rFonts w:hint="eastAsia" w:ascii="宋体" w:hAnsi="宋体" w:cs="宋体"/>
                <w:kern w:val="0"/>
                <w:sz w:val="21"/>
                <w:szCs w:val="21"/>
                <w:highlight w:val="none"/>
              </w:rPr>
            </w:pPr>
          </w:p>
        </w:tc>
        <w:tc>
          <w:tcPr>
            <w:tcW w:w="1319" w:type="dxa"/>
            <w:vAlign w:val="center"/>
          </w:tcPr>
          <w:p w14:paraId="3161707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邮政编码</w:t>
            </w:r>
          </w:p>
        </w:tc>
        <w:tc>
          <w:tcPr>
            <w:tcW w:w="2824" w:type="dxa"/>
            <w:gridSpan w:val="3"/>
            <w:vAlign w:val="center"/>
          </w:tcPr>
          <w:p w14:paraId="0224AF9F">
            <w:pPr>
              <w:spacing w:line="500" w:lineRule="exact"/>
              <w:rPr>
                <w:rFonts w:hint="eastAsia" w:ascii="宋体" w:hAnsi="宋体" w:cs="宋体"/>
                <w:kern w:val="0"/>
                <w:sz w:val="21"/>
                <w:szCs w:val="21"/>
                <w:highlight w:val="none"/>
              </w:rPr>
            </w:pPr>
          </w:p>
        </w:tc>
      </w:tr>
      <w:tr w14:paraId="50F7F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38B0247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联系方式</w:t>
            </w:r>
          </w:p>
        </w:tc>
        <w:tc>
          <w:tcPr>
            <w:tcW w:w="1080" w:type="dxa"/>
            <w:gridSpan w:val="2"/>
            <w:vAlign w:val="center"/>
          </w:tcPr>
          <w:p w14:paraId="587407E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联系人</w:t>
            </w:r>
          </w:p>
        </w:tc>
        <w:tc>
          <w:tcPr>
            <w:tcW w:w="2077" w:type="dxa"/>
            <w:gridSpan w:val="2"/>
            <w:vAlign w:val="center"/>
          </w:tcPr>
          <w:p w14:paraId="7661045C">
            <w:pPr>
              <w:spacing w:line="500" w:lineRule="exact"/>
              <w:rPr>
                <w:rFonts w:hint="eastAsia" w:ascii="宋体" w:hAnsi="宋体" w:cs="宋体"/>
                <w:kern w:val="0"/>
                <w:sz w:val="21"/>
                <w:szCs w:val="21"/>
                <w:highlight w:val="none"/>
              </w:rPr>
            </w:pPr>
          </w:p>
        </w:tc>
        <w:tc>
          <w:tcPr>
            <w:tcW w:w="1327" w:type="dxa"/>
            <w:gridSpan w:val="2"/>
            <w:vAlign w:val="center"/>
          </w:tcPr>
          <w:p w14:paraId="02F12188">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2824" w:type="dxa"/>
            <w:gridSpan w:val="3"/>
            <w:vAlign w:val="center"/>
          </w:tcPr>
          <w:p w14:paraId="77A0054A">
            <w:pPr>
              <w:spacing w:line="500" w:lineRule="exact"/>
              <w:rPr>
                <w:rFonts w:hint="eastAsia" w:ascii="宋体" w:hAnsi="宋体" w:cs="宋体"/>
                <w:kern w:val="0"/>
                <w:sz w:val="21"/>
                <w:szCs w:val="21"/>
                <w:highlight w:val="none"/>
              </w:rPr>
            </w:pPr>
          </w:p>
        </w:tc>
      </w:tr>
      <w:tr w14:paraId="0B5567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531F0AC4">
            <w:pPr>
              <w:spacing w:line="500" w:lineRule="exact"/>
              <w:rPr>
                <w:rFonts w:hint="eastAsia" w:ascii="宋体" w:hAnsi="宋体" w:cs="宋体"/>
                <w:kern w:val="0"/>
                <w:sz w:val="21"/>
                <w:szCs w:val="21"/>
                <w:highlight w:val="none"/>
              </w:rPr>
            </w:pPr>
          </w:p>
        </w:tc>
        <w:tc>
          <w:tcPr>
            <w:tcW w:w="1080" w:type="dxa"/>
            <w:gridSpan w:val="2"/>
            <w:vAlign w:val="center"/>
          </w:tcPr>
          <w:p w14:paraId="68ECDB1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传真</w:t>
            </w:r>
          </w:p>
        </w:tc>
        <w:tc>
          <w:tcPr>
            <w:tcW w:w="2077" w:type="dxa"/>
            <w:gridSpan w:val="2"/>
            <w:vAlign w:val="center"/>
          </w:tcPr>
          <w:p w14:paraId="619EE689">
            <w:pPr>
              <w:spacing w:line="500" w:lineRule="exact"/>
              <w:rPr>
                <w:rFonts w:hint="eastAsia" w:ascii="宋体" w:hAnsi="宋体" w:cs="宋体"/>
                <w:kern w:val="0"/>
                <w:sz w:val="21"/>
                <w:szCs w:val="21"/>
                <w:highlight w:val="none"/>
              </w:rPr>
            </w:pPr>
          </w:p>
        </w:tc>
        <w:tc>
          <w:tcPr>
            <w:tcW w:w="1327" w:type="dxa"/>
            <w:gridSpan w:val="2"/>
            <w:vAlign w:val="center"/>
          </w:tcPr>
          <w:p w14:paraId="27FF1167">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网址</w:t>
            </w:r>
          </w:p>
        </w:tc>
        <w:tc>
          <w:tcPr>
            <w:tcW w:w="2824" w:type="dxa"/>
            <w:gridSpan w:val="3"/>
            <w:vAlign w:val="center"/>
          </w:tcPr>
          <w:p w14:paraId="7F4B6B04">
            <w:pPr>
              <w:spacing w:line="500" w:lineRule="exact"/>
              <w:rPr>
                <w:rFonts w:hint="eastAsia" w:ascii="宋体" w:hAnsi="宋体" w:cs="宋体"/>
                <w:kern w:val="0"/>
                <w:sz w:val="21"/>
                <w:szCs w:val="21"/>
                <w:highlight w:val="none"/>
              </w:rPr>
            </w:pPr>
          </w:p>
        </w:tc>
      </w:tr>
      <w:tr w14:paraId="208637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5F1518">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组织结构</w:t>
            </w:r>
          </w:p>
        </w:tc>
        <w:tc>
          <w:tcPr>
            <w:tcW w:w="7308" w:type="dxa"/>
            <w:gridSpan w:val="9"/>
            <w:vAlign w:val="center"/>
          </w:tcPr>
          <w:p w14:paraId="68B91C79">
            <w:pPr>
              <w:spacing w:line="500" w:lineRule="exact"/>
              <w:rPr>
                <w:rFonts w:hint="eastAsia" w:ascii="宋体" w:hAnsi="宋体" w:cs="宋体"/>
                <w:kern w:val="0"/>
                <w:sz w:val="21"/>
                <w:szCs w:val="21"/>
                <w:highlight w:val="none"/>
              </w:rPr>
            </w:pPr>
          </w:p>
        </w:tc>
      </w:tr>
      <w:tr w14:paraId="38AAD6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5801B424">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法定代表人</w:t>
            </w:r>
          </w:p>
        </w:tc>
        <w:tc>
          <w:tcPr>
            <w:tcW w:w="696" w:type="dxa"/>
            <w:vAlign w:val="center"/>
          </w:tcPr>
          <w:p w14:paraId="54689D8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姓名</w:t>
            </w:r>
          </w:p>
        </w:tc>
        <w:tc>
          <w:tcPr>
            <w:tcW w:w="1284" w:type="dxa"/>
            <w:gridSpan w:val="2"/>
            <w:vAlign w:val="center"/>
          </w:tcPr>
          <w:p w14:paraId="4C6FEC5B">
            <w:pPr>
              <w:spacing w:line="500" w:lineRule="exact"/>
              <w:rPr>
                <w:rFonts w:hint="eastAsia" w:ascii="宋体" w:hAnsi="宋体" w:cs="宋体"/>
                <w:kern w:val="0"/>
                <w:sz w:val="21"/>
                <w:szCs w:val="21"/>
                <w:highlight w:val="none"/>
              </w:rPr>
            </w:pPr>
          </w:p>
        </w:tc>
        <w:tc>
          <w:tcPr>
            <w:tcW w:w="1177" w:type="dxa"/>
            <w:vAlign w:val="center"/>
          </w:tcPr>
          <w:p w14:paraId="7CCB2E41">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技术职称</w:t>
            </w:r>
          </w:p>
        </w:tc>
        <w:tc>
          <w:tcPr>
            <w:tcW w:w="1327" w:type="dxa"/>
            <w:gridSpan w:val="2"/>
            <w:vAlign w:val="center"/>
          </w:tcPr>
          <w:p w14:paraId="19BA7398">
            <w:pPr>
              <w:spacing w:line="500" w:lineRule="exact"/>
              <w:rPr>
                <w:rFonts w:hint="eastAsia" w:ascii="宋体" w:hAnsi="宋体" w:cs="宋体"/>
                <w:kern w:val="0"/>
                <w:sz w:val="21"/>
                <w:szCs w:val="21"/>
                <w:highlight w:val="none"/>
              </w:rPr>
            </w:pPr>
          </w:p>
        </w:tc>
        <w:tc>
          <w:tcPr>
            <w:tcW w:w="1173" w:type="dxa"/>
            <w:gridSpan w:val="2"/>
            <w:vAlign w:val="center"/>
          </w:tcPr>
          <w:p w14:paraId="20F14AF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1651" w:type="dxa"/>
            <w:vAlign w:val="center"/>
          </w:tcPr>
          <w:p w14:paraId="63D68B4C">
            <w:pPr>
              <w:spacing w:line="500" w:lineRule="exact"/>
              <w:rPr>
                <w:rFonts w:hint="eastAsia" w:ascii="宋体" w:hAnsi="宋体" w:cs="宋体"/>
                <w:b/>
                <w:bCs/>
                <w:kern w:val="0"/>
                <w:sz w:val="21"/>
                <w:szCs w:val="21"/>
                <w:highlight w:val="none"/>
              </w:rPr>
            </w:pPr>
          </w:p>
        </w:tc>
      </w:tr>
      <w:tr w14:paraId="22F686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0CE36D3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技术负责人</w:t>
            </w:r>
          </w:p>
        </w:tc>
        <w:tc>
          <w:tcPr>
            <w:tcW w:w="696" w:type="dxa"/>
            <w:vAlign w:val="center"/>
          </w:tcPr>
          <w:p w14:paraId="0BE1E0C7">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姓名</w:t>
            </w:r>
          </w:p>
        </w:tc>
        <w:tc>
          <w:tcPr>
            <w:tcW w:w="1284" w:type="dxa"/>
            <w:gridSpan w:val="2"/>
            <w:vAlign w:val="center"/>
          </w:tcPr>
          <w:p w14:paraId="7378E731">
            <w:pPr>
              <w:spacing w:line="500" w:lineRule="exact"/>
              <w:rPr>
                <w:rFonts w:hint="eastAsia" w:ascii="宋体" w:hAnsi="宋体" w:cs="宋体"/>
                <w:kern w:val="0"/>
                <w:sz w:val="21"/>
                <w:szCs w:val="21"/>
                <w:highlight w:val="none"/>
              </w:rPr>
            </w:pPr>
          </w:p>
        </w:tc>
        <w:tc>
          <w:tcPr>
            <w:tcW w:w="1177" w:type="dxa"/>
            <w:vAlign w:val="center"/>
          </w:tcPr>
          <w:p w14:paraId="004A25C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技术职称</w:t>
            </w:r>
          </w:p>
        </w:tc>
        <w:tc>
          <w:tcPr>
            <w:tcW w:w="1327" w:type="dxa"/>
            <w:gridSpan w:val="2"/>
            <w:vAlign w:val="center"/>
          </w:tcPr>
          <w:p w14:paraId="3798418C">
            <w:pPr>
              <w:spacing w:line="500" w:lineRule="exact"/>
              <w:rPr>
                <w:rFonts w:hint="eastAsia" w:ascii="宋体" w:hAnsi="宋体" w:cs="宋体"/>
                <w:kern w:val="0"/>
                <w:sz w:val="21"/>
                <w:szCs w:val="21"/>
                <w:highlight w:val="none"/>
              </w:rPr>
            </w:pPr>
          </w:p>
        </w:tc>
        <w:tc>
          <w:tcPr>
            <w:tcW w:w="1173" w:type="dxa"/>
            <w:gridSpan w:val="2"/>
            <w:vAlign w:val="center"/>
          </w:tcPr>
          <w:p w14:paraId="6717742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1651" w:type="dxa"/>
            <w:vAlign w:val="center"/>
          </w:tcPr>
          <w:p w14:paraId="09D09BD2">
            <w:pPr>
              <w:spacing w:line="500" w:lineRule="exact"/>
              <w:rPr>
                <w:rFonts w:hint="eastAsia" w:ascii="宋体" w:hAnsi="宋体" w:cs="宋体"/>
                <w:b/>
                <w:bCs/>
                <w:kern w:val="0"/>
                <w:sz w:val="21"/>
                <w:szCs w:val="21"/>
                <w:highlight w:val="none"/>
              </w:rPr>
            </w:pPr>
          </w:p>
        </w:tc>
      </w:tr>
      <w:tr w14:paraId="29DC85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A50DC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成立时间</w:t>
            </w:r>
          </w:p>
        </w:tc>
        <w:tc>
          <w:tcPr>
            <w:tcW w:w="1980" w:type="dxa"/>
            <w:gridSpan w:val="3"/>
            <w:vAlign w:val="center"/>
          </w:tcPr>
          <w:p w14:paraId="650F10F1">
            <w:pPr>
              <w:spacing w:line="500" w:lineRule="exact"/>
              <w:rPr>
                <w:rFonts w:hint="eastAsia" w:ascii="宋体" w:hAnsi="宋体" w:cs="宋体"/>
                <w:kern w:val="0"/>
                <w:sz w:val="21"/>
                <w:szCs w:val="21"/>
                <w:highlight w:val="none"/>
              </w:rPr>
            </w:pPr>
          </w:p>
        </w:tc>
        <w:tc>
          <w:tcPr>
            <w:tcW w:w="5328" w:type="dxa"/>
            <w:gridSpan w:val="6"/>
            <w:vAlign w:val="center"/>
          </w:tcPr>
          <w:p w14:paraId="0E09D27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员工总人数：</w:t>
            </w:r>
          </w:p>
        </w:tc>
      </w:tr>
      <w:tr w14:paraId="20555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0C082636">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企业资质等级</w:t>
            </w:r>
          </w:p>
        </w:tc>
        <w:tc>
          <w:tcPr>
            <w:tcW w:w="1980" w:type="dxa"/>
            <w:gridSpan w:val="3"/>
            <w:vAlign w:val="center"/>
          </w:tcPr>
          <w:p w14:paraId="2FAE9E90">
            <w:pPr>
              <w:spacing w:line="500" w:lineRule="exact"/>
              <w:rPr>
                <w:rFonts w:hint="eastAsia" w:ascii="宋体" w:hAnsi="宋体" w:cs="宋体"/>
                <w:kern w:val="0"/>
                <w:sz w:val="21"/>
                <w:szCs w:val="21"/>
                <w:highlight w:val="none"/>
              </w:rPr>
            </w:pPr>
          </w:p>
        </w:tc>
        <w:tc>
          <w:tcPr>
            <w:tcW w:w="1177" w:type="dxa"/>
            <w:vMerge w:val="restart"/>
            <w:vAlign w:val="center"/>
          </w:tcPr>
          <w:p w14:paraId="5905D5F3">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其中</w:t>
            </w:r>
          </w:p>
        </w:tc>
        <w:tc>
          <w:tcPr>
            <w:tcW w:w="1883" w:type="dxa"/>
            <w:gridSpan w:val="3"/>
            <w:vAlign w:val="center"/>
          </w:tcPr>
          <w:p w14:paraId="4FEDAAB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项目经理</w:t>
            </w:r>
          </w:p>
        </w:tc>
        <w:tc>
          <w:tcPr>
            <w:tcW w:w="2268" w:type="dxa"/>
            <w:gridSpan w:val="2"/>
            <w:vAlign w:val="center"/>
          </w:tcPr>
          <w:p w14:paraId="6BBBD7DE">
            <w:pPr>
              <w:spacing w:line="500" w:lineRule="exact"/>
              <w:rPr>
                <w:rFonts w:hint="eastAsia" w:ascii="宋体" w:hAnsi="宋体" w:cs="宋体"/>
                <w:b/>
                <w:bCs/>
                <w:kern w:val="0"/>
                <w:sz w:val="21"/>
                <w:szCs w:val="21"/>
                <w:highlight w:val="none"/>
              </w:rPr>
            </w:pPr>
          </w:p>
        </w:tc>
      </w:tr>
      <w:tr w14:paraId="50BF88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05E66466">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营业执照号</w:t>
            </w:r>
          </w:p>
        </w:tc>
        <w:tc>
          <w:tcPr>
            <w:tcW w:w="1980" w:type="dxa"/>
            <w:gridSpan w:val="3"/>
            <w:vAlign w:val="center"/>
          </w:tcPr>
          <w:p w14:paraId="72A646DD">
            <w:pPr>
              <w:spacing w:line="500" w:lineRule="exact"/>
              <w:rPr>
                <w:rFonts w:hint="eastAsia" w:ascii="宋体" w:hAnsi="宋体" w:cs="宋体"/>
                <w:kern w:val="0"/>
                <w:sz w:val="21"/>
                <w:szCs w:val="21"/>
                <w:highlight w:val="none"/>
              </w:rPr>
            </w:pPr>
          </w:p>
        </w:tc>
        <w:tc>
          <w:tcPr>
            <w:tcW w:w="1177" w:type="dxa"/>
            <w:vMerge w:val="continue"/>
            <w:vAlign w:val="center"/>
          </w:tcPr>
          <w:p w14:paraId="6FF973C2">
            <w:pPr>
              <w:spacing w:line="500" w:lineRule="exact"/>
              <w:rPr>
                <w:rFonts w:hint="eastAsia" w:ascii="宋体" w:hAnsi="宋体" w:cs="宋体"/>
                <w:kern w:val="0"/>
                <w:sz w:val="21"/>
                <w:szCs w:val="21"/>
                <w:highlight w:val="none"/>
              </w:rPr>
            </w:pPr>
          </w:p>
        </w:tc>
        <w:tc>
          <w:tcPr>
            <w:tcW w:w="1883" w:type="dxa"/>
            <w:gridSpan w:val="3"/>
            <w:vAlign w:val="center"/>
          </w:tcPr>
          <w:p w14:paraId="4FDAD3D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高级职称人员</w:t>
            </w:r>
          </w:p>
        </w:tc>
        <w:tc>
          <w:tcPr>
            <w:tcW w:w="2268" w:type="dxa"/>
            <w:gridSpan w:val="2"/>
            <w:vAlign w:val="center"/>
          </w:tcPr>
          <w:p w14:paraId="18FD840C">
            <w:pPr>
              <w:spacing w:line="500" w:lineRule="exact"/>
              <w:rPr>
                <w:rFonts w:hint="eastAsia" w:ascii="宋体" w:hAnsi="宋体" w:cs="宋体"/>
                <w:b/>
                <w:bCs/>
                <w:kern w:val="0"/>
                <w:sz w:val="21"/>
                <w:szCs w:val="21"/>
                <w:highlight w:val="none"/>
              </w:rPr>
            </w:pPr>
          </w:p>
        </w:tc>
      </w:tr>
      <w:tr w14:paraId="6C9823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5EF36612">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注册资金</w:t>
            </w:r>
          </w:p>
        </w:tc>
        <w:tc>
          <w:tcPr>
            <w:tcW w:w="1980" w:type="dxa"/>
            <w:gridSpan w:val="3"/>
            <w:vAlign w:val="center"/>
          </w:tcPr>
          <w:p w14:paraId="3A9FB92D">
            <w:pPr>
              <w:spacing w:line="500" w:lineRule="exact"/>
              <w:rPr>
                <w:rFonts w:hint="eastAsia" w:ascii="宋体" w:hAnsi="宋体" w:cs="宋体"/>
                <w:kern w:val="0"/>
                <w:sz w:val="21"/>
                <w:szCs w:val="21"/>
                <w:highlight w:val="none"/>
              </w:rPr>
            </w:pPr>
          </w:p>
        </w:tc>
        <w:tc>
          <w:tcPr>
            <w:tcW w:w="1177" w:type="dxa"/>
            <w:vMerge w:val="continue"/>
            <w:vAlign w:val="center"/>
          </w:tcPr>
          <w:p w14:paraId="1C8FB7C2">
            <w:pPr>
              <w:spacing w:line="500" w:lineRule="exact"/>
              <w:rPr>
                <w:rFonts w:hint="eastAsia" w:ascii="宋体" w:hAnsi="宋体" w:cs="宋体"/>
                <w:kern w:val="0"/>
                <w:sz w:val="21"/>
                <w:szCs w:val="21"/>
                <w:highlight w:val="none"/>
              </w:rPr>
            </w:pPr>
          </w:p>
        </w:tc>
        <w:tc>
          <w:tcPr>
            <w:tcW w:w="1883" w:type="dxa"/>
            <w:gridSpan w:val="3"/>
            <w:vAlign w:val="center"/>
          </w:tcPr>
          <w:p w14:paraId="5089611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中级职称人员</w:t>
            </w:r>
          </w:p>
        </w:tc>
        <w:tc>
          <w:tcPr>
            <w:tcW w:w="2268" w:type="dxa"/>
            <w:gridSpan w:val="2"/>
            <w:vAlign w:val="center"/>
          </w:tcPr>
          <w:p w14:paraId="415ECAD5">
            <w:pPr>
              <w:spacing w:line="500" w:lineRule="exact"/>
              <w:rPr>
                <w:rFonts w:hint="eastAsia" w:ascii="宋体" w:hAnsi="宋体" w:cs="宋体"/>
                <w:b/>
                <w:bCs/>
                <w:kern w:val="0"/>
                <w:sz w:val="21"/>
                <w:szCs w:val="21"/>
                <w:highlight w:val="none"/>
              </w:rPr>
            </w:pPr>
          </w:p>
        </w:tc>
      </w:tr>
      <w:tr w14:paraId="5E4C6C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2398875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开户银行</w:t>
            </w:r>
          </w:p>
        </w:tc>
        <w:tc>
          <w:tcPr>
            <w:tcW w:w="1980" w:type="dxa"/>
            <w:gridSpan w:val="3"/>
            <w:vAlign w:val="center"/>
          </w:tcPr>
          <w:p w14:paraId="2D8D6B47">
            <w:pPr>
              <w:spacing w:line="500" w:lineRule="exact"/>
              <w:rPr>
                <w:rFonts w:hint="eastAsia" w:ascii="宋体" w:hAnsi="宋体" w:cs="宋体"/>
                <w:kern w:val="0"/>
                <w:sz w:val="21"/>
                <w:szCs w:val="21"/>
                <w:highlight w:val="none"/>
              </w:rPr>
            </w:pPr>
          </w:p>
        </w:tc>
        <w:tc>
          <w:tcPr>
            <w:tcW w:w="1177" w:type="dxa"/>
            <w:vMerge w:val="continue"/>
            <w:vAlign w:val="center"/>
          </w:tcPr>
          <w:p w14:paraId="255945A2">
            <w:pPr>
              <w:spacing w:line="500" w:lineRule="exact"/>
              <w:rPr>
                <w:rFonts w:hint="eastAsia" w:ascii="宋体" w:hAnsi="宋体" w:cs="宋体"/>
                <w:kern w:val="0"/>
                <w:sz w:val="21"/>
                <w:szCs w:val="21"/>
                <w:highlight w:val="none"/>
              </w:rPr>
            </w:pPr>
          </w:p>
        </w:tc>
        <w:tc>
          <w:tcPr>
            <w:tcW w:w="1883" w:type="dxa"/>
            <w:gridSpan w:val="3"/>
            <w:vAlign w:val="center"/>
          </w:tcPr>
          <w:p w14:paraId="6CD10C3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初级职称人员</w:t>
            </w:r>
          </w:p>
        </w:tc>
        <w:tc>
          <w:tcPr>
            <w:tcW w:w="2268" w:type="dxa"/>
            <w:gridSpan w:val="2"/>
            <w:vAlign w:val="center"/>
          </w:tcPr>
          <w:p w14:paraId="2ACEE5A3">
            <w:pPr>
              <w:spacing w:line="500" w:lineRule="exact"/>
              <w:rPr>
                <w:rFonts w:hint="eastAsia" w:ascii="宋体" w:hAnsi="宋体" w:cs="宋体"/>
                <w:b/>
                <w:bCs/>
                <w:kern w:val="0"/>
                <w:sz w:val="21"/>
                <w:szCs w:val="21"/>
                <w:highlight w:val="none"/>
              </w:rPr>
            </w:pPr>
          </w:p>
        </w:tc>
      </w:tr>
      <w:tr w14:paraId="75CA0A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34F1966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账号</w:t>
            </w:r>
          </w:p>
        </w:tc>
        <w:tc>
          <w:tcPr>
            <w:tcW w:w="1980" w:type="dxa"/>
            <w:gridSpan w:val="3"/>
            <w:vAlign w:val="center"/>
          </w:tcPr>
          <w:p w14:paraId="3324467C">
            <w:pPr>
              <w:spacing w:line="500" w:lineRule="exact"/>
              <w:rPr>
                <w:rFonts w:hint="eastAsia" w:ascii="宋体" w:hAnsi="宋体" w:cs="宋体"/>
                <w:kern w:val="0"/>
                <w:sz w:val="21"/>
                <w:szCs w:val="21"/>
                <w:highlight w:val="none"/>
              </w:rPr>
            </w:pPr>
          </w:p>
        </w:tc>
        <w:tc>
          <w:tcPr>
            <w:tcW w:w="1177" w:type="dxa"/>
            <w:vMerge w:val="continue"/>
            <w:vAlign w:val="center"/>
          </w:tcPr>
          <w:p w14:paraId="11B0E50E">
            <w:pPr>
              <w:spacing w:line="500" w:lineRule="exact"/>
              <w:rPr>
                <w:rFonts w:hint="eastAsia" w:ascii="宋体" w:hAnsi="宋体" w:cs="宋体"/>
                <w:kern w:val="0"/>
                <w:sz w:val="21"/>
                <w:szCs w:val="21"/>
                <w:highlight w:val="none"/>
              </w:rPr>
            </w:pPr>
          </w:p>
        </w:tc>
        <w:tc>
          <w:tcPr>
            <w:tcW w:w="1883" w:type="dxa"/>
            <w:gridSpan w:val="3"/>
            <w:vAlign w:val="center"/>
          </w:tcPr>
          <w:p w14:paraId="4A50140A">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技工</w:t>
            </w:r>
          </w:p>
        </w:tc>
        <w:tc>
          <w:tcPr>
            <w:tcW w:w="2268" w:type="dxa"/>
            <w:gridSpan w:val="2"/>
            <w:vAlign w:val="center"/>
          </w:tcPr>
          <w:p w14:paraId="7D1DA82F">
            <w:pPr>
              <w:spacing w:line="500" w:lineRule="exact"/>
              <w:rPr>
                <w:rFonts w:hint="eastAsia" w:ascii="宋体" w:hAnsi="宋体" w:cs="宋体"/>
                <w:b/>
                <w:bCs/>
                <w:kern w:val="0"/>
                <w:sz w:val="21"/>
                <w:szCs w:val="21"/>
                <w:highlight w:val="none"/>
              </w:rPr>
            </w:pPr>
          </w:p>
        </w:tc>
      </w:tr>
      <w:tr w14:paraId="159F25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62F3AC51">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经营范围</w:t>
            </w:r>
          </w:p>
        </w:tc>
        <w:tc>
          <w:tcPr>
            <w:tcW w:w="7308" w:type="dxa"/>
            <w:gridSpan w:val="9"/>
            <w:vAlign w:val="center"/>
          </w:tcPr>
          <w:p w14:paraId="392683E8">
            <w:pPr>
              <w:spacing w:line="500" w:lineRule="exact"/>
              <w:rPr>
                <w:rFonts w:hint="eastAsia" w:ascii="宋体" w:hAnsi="宋体" w:cs="宋体"/>
                <w:b/>
                <w:bCs/>
                <w:kern w:val="0"/>
                <w:sz w:val="21"/>
                <w:szCs w:val="21"/>
                <w:highlight w:val="none"/>
              </w:rPr>
            </w:pPr>
          </w:p>
        </w:tc>
      </w:tr>
      <w:tr w14:paraId="1B3F21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155BB3BE">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备注</w:t>
            </w:r>
          </w:p>
        </w:tc>
        <w:tc>
          <w:tcPr>
            <w:tcW w:w="7308" w:type="dxa"/>
            <w:gridSpan w:val="9"/>
            <w:vAlign w:val="center"/>
          </w:tcPr>
          <w:p w14:paraId="7A0B36B8">
            <w:pPr>
              <w:spacing w:line="500" w:lineRule="exact"/>
              <w:rPr>
                <w:rFonts w:hint="eastAsia" w:ascii="宋体" w:hAnsi="宋体" w:cs="宋体"/>
                <w:kern w:val="0"/>
                <w:sz w:val="21"/>
                <w:szCs w:val="21"/>
                <w:highlight w:val="none"/>
              </w:rPr>
            </w:pPr>
          </w:p>
        </w:tc>
      </w:tr>
    </w:tbl>
    <w:p w14:paraId="5FF945BF">
      <w:pPr>
        <w:spacing w:line="500" w:lineRule="exact"/>
        <w:rPr>
          <w:rFonts w:hint="eastAsia" w:asciiTheme="minorEastAsia" w:hAnsiTheme="minorEastAsia" w:eastAsiaTheme="minorEastAsia"/>
          <w:b/>
          <w:szCs w:val="28"/>
          <w:highlight w:val="none"/>
        </w:rPr>
      </w:pPr>
    </w:p>
    <w:p w14:paraId="78F595B0">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投标人名称：        （盖章）</w:t>
      </w:r>
    </w:p>
    <w:p w14:paraId="007C70F6">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sz w:val="28"/>
          <w:szCs w:val="28"/>
          <w:highlight w:val="none"/>
        </w:rPr>
        <w:t>法定代表人或授权代表（签字）</w:t>
      </w:r>
      <w:r>
        <w:rPr>
          <w:rFonts w:hint="eastAsia" w:asciiTheme="minorEastAsia" w:hAnsiTheme="minorEastAsia" w:eastAsiaTheme="minorEastAsia"/>
          <w:bCs/>
          <w:sz w:val="28"/>
          <w:szCs w:val="28"/>
          <w:highlight w:val="none"/>
        </w:rPr>
        <w:t>：</w:t>
      </w:r>
    </w:p>
    <w:p w14:paraId="41062FC2">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投标日期:</w:t>
      </w:r>
    </w:p>
    <w:p w14:paraId="25630DA1">
      <w:pPr>
        <w:spacing w:line="500" w:lineRule="exact"/>
        <w:ind w:firstLine="616" w:firstLineChars="257"/>
        <w:rPr>
          <w:rFonts w:hint="eastAsia" w:asciiTheme="minorEastAsia" w:hAnsiTheme="minorEastAsia" w:eastAsiaTheme="minorEastAsia"/>
          <w:highlight w:val="none"/>
        </w:rPr>
      </w:pPr>
    </w:p>
    <w:p w14:paraId="640EAADC">
      <w:pPr>
        <w:rPr>
          <w:rFonts w:hint="eastAsia" w:asciiTheme="minorEastAsia" w:hAnsiTheme="minorEastAsia" w:eastAsiaTheme="minorEastAsia"/>
          <w:b/>
          <w:sz w:val="28"/>
          <w:szCs w:val="28"/>
          <w:highlight w:val="none"/>
        </w:rPr>
      </w:pPr>
    </w:p>
    <w:p w14:paraId="21BD9DCE">
      <w:pPr>
        <w:autoSpaceDE w:val="0"/>
        <w:autoSpaceDN w:val="0"/>
        <w:adjustRightInd w:val="0"/>
        <w:snapToGrid w:val="0"/>
        <w:spacing w:line="360" w:lineRule="auto"/>
        <w:jc w:val="left"/>
        <w:outlineLvl w:val="1"/>
        <w:rPr>
          <w:rFonts w:hint="eastAsia" w:ascii="仿宋" w:hAnsi="仿宋" w:eastAsia="仿宋" w:cs="仿宋"/>
          <w:b/>
          <w:w w:val="99"/>
          <w:kern w:val="0"/>
          <w:sz w:val="28"/>
          <w:szCs w:val="28"/>
          <w:highlight w:val="none"/>
          <w:lang w:val="zh-CN"/>
        </w:rPr>
      </w:pPr>
      <w:r>
        <w:rPr>
          <w:rFonts w:hint="eastAsia" w:ascii="仿宋" w:hAnsi="仿宋" w:eastAsia="仿宋" w:cs="仿宋"/>
          <w:b/>
          <w:w w:val="99"/>
          <w:kern w:val="0"/>
          <w:sz w:val="28"/>
          <w:szCs w:val="28"/>
          <w:highlight w:val="none"/>
          <w:lang w:val="zh-CN"/>
        </w:rPr>
        <w:t>四、响应文件</w:t>
      </w:r>
    </w:p>
    <w:p w14:paraId="7A65A16E">
      <w:pPr>
        <w:spacing w:line="500" w:lineRule="exac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（根据招标要求由投标人自行编写）</w:t>
      </w:r>
    </w:p>
    <w:p w14:paraId="025BA030">
      <w:pPr>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jc w:val="left"/>
        <w:textAlignment w:val="auto"/>
        <w:outlineLvl w:val="2"/>
        <w:rPr>
          <w:rFonts w:hint="default" w:ascii="Times New Roman" w:hAnsi="Times New Roman" w:eastAsia="方正仿宋_GBK" w:cs="Times New Roman"/>
          <w:b/>
          <w:bCs/>
          <w:color w:val="auto"/>
          <w:kern w:val="0"/>
          <w:sz w:val="28"/>
          <w:szCs w:val="28"/>
          <w:highlight w:val="none"/>
          <w:lang w:val="en-US" w:eastAsia="zh-CN"/>
        </w:rPr>
      </w:pPr>
      <w:r>
        <w:rPr>
          <w:rFonts w:hint="eastAsia" w:ascii="Times New Roman" w:hAnsi="Times New Roman" w:eastAsia="方正仿宋_GBK" w:cs="Times New Roman"/>
          <w:b/>
          <w:bCs/>
          <w:color w:val="auto"/>
          <w:kern w:val="0"/>
          <w:sz w:val="28"/>
          <w:szCs w:val="28"/>
          <w:highlight w:val="none"/>
          <w:lang w:val="en-US" w:eastAsia="zh-CN"/>
        </w:rPr>
        <w:t>请列出技术偏离情况表</w:t>
      </w:r>
    </w:p>
    <w:p w14:paraId="101CF555">
      <w:pPr>
        <w:spacing w:line="500" w:lineRule="exact"/>
        <w:rPr>
          <w:rFonts w:hint="eastAsia" w:asciiTheme="minorEastAsia" w:hAnsiTheme="minorEastAsia" w:eastAsiaTheme="minorEastAsia"/>
          <w:b/>
          <w:bCs/>
          <w:sz w:val="28"/>
          <w:szCs w:val="28"/>
          <w:highlight w:val="none"/>
        </w:rPr>
      </w:pPr>
    </w:p>
    <w:p w14:paraId="41FC7195">
      <w:pPr>
        <w:spacing w:line="500" w:lineRule="exact"/>
        <w:rPr>
          <w:rFonts w:hint="eastAsia" w:asciiTheme="minorEastAsia" w:hAnsiTheme="minorEastAsia" w:eastAsiaTheme="minorEastAsia"/>
          <w:bCs/>
          <w:szCs w:val="28"/>
          <w:highlight w:val="none"/>
        </w:rPr>
      </w:pPr>
    </w:p>
    <w:p w14:paraId="0C9E3859">
      <w:pPr>
        <w:spacing w:line="500" w:lineRule="exact"/>
        <w:rPr>
          <w:rFonts w:hint="eastAsia" w:asciiTheme="minorEastAsia" w:hAnsiTheme="minorEastAsia" w:eastAsiaTheme="minorEastAsia"/>
          <w:bCs/>
          <w:szCs w:val="28"/>
          <w:highlight w:val="none"/>
        </w:rPr>
      </w:pPr>
    </w:p>
    <w:p w14:paraId="2CE4724B">
      <w:pPr>
        <w:spacing w:line="500" w:lineRule="exact"/>
        <w:rPr>
          <w:rFonts w:hint="eastAsia" w:asciiTheme="minorEastAsia" w:hAnsiTheme="minorEastAsia" w:eastAsiaTheme="minorEastAsia"/>
          <w:bCs/>
          <w:szCs w:val="28"/>
          <w:highlight w:val="none"/>
        </w:rPr>
      </w:pPr>
    </w:p>
    <w:p w14:paraId="5301776B">
      <w:pPr>
        <w:spacing w:line="500" w:lineRule="exact"/>
        <w:rPr>
          <w:rFonts w:hint="eastAsia" w:asciiTheme="minorEastAsia" w:hAnsiTheme="minorEastAsia" w:eastAsiaTheme="minorEastAsia"/>
          <w:bCs/>
          <w:szCs w:val="28"/>
          <w:highlight w:val="none"/>
        </w:rPr>
      </w:pPr>
    </w:p>
    <w:p w14:paraId="7A4F2B58">
      <w:pPr>
        <w:spacing w:line="500" w:lineRule="exact"/>
        <w:rPr>
          <w:rFonts w:hint="eastAsia" w:asciiTheme="minorEastAsia" w:hAnsiTheme="minorEastAsia" w:eastAsiaTheme="minorEastAsia"/>
          <w:bCs/>
          <w:szCs w:val="28"/>
          <w:highlight w:val="none"/>
        </w:rPr>
      </w:pPr>
    </w:p>
    <w:p w14:paraId="4A3EC940">
      <w:pPr>
        <w:spacing w:line="500" w:lineRule="exact"/>
        <w:rPr>
          <w:rFonts w:hint="eastAsia" w:asciiTheme="minorEastAsia" w:hAnsiTheme="minorEastAsia" w:eastAsiaTheme="minorEastAsia"/>
          <w:bCs/>
          <w:szCs w:val="28"/>
          <w:highlight w:val="none"/>
        </w:rPr>
      </w:pPr>
    </w:p>
    <w:p w14:paraId="65BB86DF">
      <w:pPr>
        <w:spacing w:line="500" w:lineRule="exact"/>
        <w:rPr>
          <w:rFonts w:hint="eastAsia" w:asciiTheme="minorEastAsia" w:hAnsiTheme="minorEastAsia" w:eastAsiaTheme="minorEastAsia"/>
          <w:bCs/>
          <w:szCs w:val="28"/>
          <w:highlight w:val="none"/>
        </w:rPr>
      </w:pPr>
    </w:p>
    <w:p w14:paraId="6632050E">
      <w:pPr>
        <w:spacing w:line="500" w:lineRule="exact"/>
        <w:rPr>
          <w:rFonts w:hint="eastAsia" w:asciiTheme="minorEastAsia" w:hAnsiTheme="minorEastAsia" w:eastAsiaTheme="minorEastAsia"/>
          <w:bCs/>
          <w:szCs w:val="28"/>
          <w:highlight w:val="none"/>
        </w:rPr>
      </w:pPr>
    </w:p>
    <w:p w14:paraId="27F8E771">
      <w:pPr>
        <w:spacing w:line="500" w:lineRule="exact"/>
        <w:rPr>
          <w:rFonts w:hint="eastAsia" w:asciiTheme="minorEastAsia" w:hAnsiTheme="minorEastAsia" w:eastAsiaTheme="minorEastAsia"/>
          <w:bCs/>
          <w:szCs w:val="28"/>
          <w:highlight w:val="none"/>
        </w:rPr>
      </w:pPr>
    </w:p>
    <w:p w14:paraId="12D3AF79">
      <w:pPr>
        <w:spacing w:line="500" w:lineRule="exact"/>
        <w:rPr>
          <w:rFonts w:hint="eastAsia" w:asciiTheme="minorEastAsia" w:hAnsiTheme="minorEastAsia" w:eastAsiaTheme="minorEastAsia"/>
          <w:bCs/>
          <w:szCs w:val="28"/>
          <w:highlight w:val="none"/>
        </w:rPr>
      </w:pPr>
    </w:p>
    <w:p w14:paraId="5DFF6B21">
      <w:pPr>
        <w:spacing w:line="500" w:lineRule="exact"/>
        <w:rPr>
          <w:rFonts w:hint="eastAsia" w:asciiTheme="minorEastAsia" w:hAnsiTheme="minorEastAsia" w:eastAsiaTheme="minorEastAsia"/>
          <w:bCs/>
          <w:szCs w:val="28"/>
          <w:highlight w:val="none"/>
        </w:rPr>
      </w:pPr>
    </w:p>
    <w:p w14:paraId="2ABDB758">
      <w:pPr>
        <w:spacing w:line="500" w:lineRule="exact"/>
        <w:rPr>
          <w:rFonts w:hint="eastAsia" w:asciiTheme="minorEastAsia" w:hAnsiTheme="minorEastAsia" w:eastAsiaTheme="minorEastAsia"/>
          <w:bCs/>
          <w:szCs w:val="28"/>
          <w:highlight w:val="none"/>
        </w:rPr>
      </w:pPr>
    </w:p>
    <w:p w14:paraId="4B2F6317">
      <w:pPr>
        <w:spacing w:line="500" w:lineRule="exact"/>
        <w:rPr>
          <w:rFonts w:hint="eastAsia" w:asciiTheme="minorEastAsia" w:hAnsiTheme="minorEastAsia" w:eastAsiaTheme="minorEastAsia"/>
          <w:bCs/>
          <w:szCs w:val="28"/>
          <w:highlight w:val="none"/>
        </w:rPr>
      </w:pPr>
    </w:p>
    <w:p w14:paraId="73F94511">
      <w:pPr>
        <w:spacing w:line="500" w:lineRule="exact"/>
        <w:rPr>
          <w:rFonts w:hint="eastAsia" w:asciiTheme="minorEastAsia" w:hAnsiTheme="minorEastAsia" w:eastAsiaTheme="minorEastAsia"/>
          <w:bCs/>
          <w:szCs w:val="28"/>
          <w:highlight w:val="none"/>
        </w:rPr>
      </w:pPr>
    </w:p>
    <w:p w14:paraId="3CDB839A">
      <w:pPr>
        <w:spacing w:line="500" w:lineRule="exact"/>
        <w:rPr>
          <w:rFonts w:hint="eastAsia" w:asciiTheme="minorEastAsia" w:hAnsiTheme="minorEastAsia" w:eastAsiaTheme="minorEastAsia"/>
          <w:bCs/>
          <w:szCs w:val="28"/>
          <w:highlight w:val="none"/>
        </w:rPr>
      </w:pPr>
    </w:p>
    <w:p w14:paraId="4C549079">
      <w:pPr>
        <w:spacing w:line="500" w:lineRule="exact"/>
        <w:rPr>
          <w:rFonts w:hint="eastAsia" w:asciiTheme="minorEastAsia" w:hAnsiTheme="minorEastAsia" w:eastAsiaTheme="minorEastAsia"/>
          <w:bCs/>
          <w:szCs w:val="28"/>
          <w:highlight w:val="none"/>
        </w:rPr>
      </w:pPr>
    </w:p>
    <w:p w14:paraId="63375084">
      <w:pPr>
        <w:spacing w:line="500" w:lineRule="exact"/>
        <w:rPr>
          <w:rFonts w:hint="eastAsia" w:asciiTheme="minorEastAsia" w:hAnsiTheme="minorEastAsia" w:eastAsiaTheme="minorEastAsia"/>
          <w:bCs/>
          <w:szCs w:val="28"/>
          <w:highlight w:val="none"/>
        </w:rPr>
      </w:pPr>
    </w:p>
    <w:p w14:paraId="5C18BAA2">
      <w:pPr>
        <w:spacing w:line="500" w:lineRule="exact"/>
        <w:rPr>
          <w:rFonts w:hint="eastAsia" w:asciiTheme="minorEastAsia" w:hAnsiTheme="minorEastAsia" w:eastAsiaTheme="minorEastAsia"/>
          <w:bCs/>
          <w:szCs w:val="28"/>
          <w:highlight w:val="none"/>
        </w:rPr>
      </w:pPr>
    </w:p>
    <w:p w14:paraId="3BBCBB28">
      <w:pPr>
        <w:spacing w:line="500" w:lineRule="exact"/>
        <w:rPr>
          <w:rFonts w:hint="eastAsia" w:asciiTheme="minorEastAsia" w:hAnsiTheme="minorEastAsia" w:eastAsiaTheme="minorEastAsia"/>
          <w:bCs/>
          <w:szCs w:val="28"/>
          <w:highlight w:val="none"/>
        </w:rPr>
      </w:pPr>
    </w:p>
    <w:p w14:paraId="5264D35C">
      <w:pPr>
        <w:spacing w:line="500" w:lineRule="exact"/>
        <w:rPr>
          <w:rFonts w:hint="eastAsia" w:asciiTheme="minorEastAsia" w:hAnsiTheme="minorEastAsia" w:eastAsiaTheme="minorEastAsia"/>
          <w:bCs/>
          <w:szCs w:val="28"/>
          <w:highlight w:val="none"/>
        </w:rPr>
      </w:pPr>
    </w:p>
    <w:p w14:paraId="010D447F">
      <w:pPr>
        <w:spacing w:line="500" w:lineRule="exact"/>
        <w:rPr>
          <w:rFonts w:hint="eastAsia" w:asciiTheme="minorEastAsia" w:hAnsiTheme="minorEastAsia" w:eastAsiaTheme="minorEastAsia"/>
          <w:bCs/>
          <w:szCs w:val="28"/>
          <w:highlight w:val="none"/>
        </w:rPr>
      </w:pPr>
    </w:p>
    <w:p w14:paraId="750967F8">
      <w:pPr>
        <w:spacing w:line="500" w:lineRule="exact"/>
        <w:rPr>
          <w:rFonts w:hint="eastAsia" w:asciiTheme="minorEastAsia" w:hAnsiTheme="minorEastAsia" w:eastAsiaTheme="minorEastAsia"/>
          <w:bCs/>
          <w:szCs w:val="28"/>
          <w:highlight w:val="none"/>
        </w:rPr>
      </w:pPr>
    </w:p>
    <w:p w14:paraId="04E678E7">
      <w:pPr>
        <w:spacing w:line="500" w:lineRule="exact"/>
        <w:rPr>
          <w:rFonts w:hint="eastAsia" w:asciiTheme="minorEastAsia" w:hAnsiTheme="minorEastAsia" w:eastAsiaTheme="minorEastAsia"/>
          <w:bCs/>
          <w:szCs w:val="28"/>
          <w:highlight w:val="none"/>
        </w:rPr>
      </w:pPr>
    </w:p>
    <w:p w14:paraId="0A48C912">
      <w:pPr>
        <w:rPr>
          <w:rFonts w:hint="eastAsia" w:ascii="仿宋" w:hAnsi="仿宋" w:eastAsia="仿宋" w:cs="仿宋"/>
          <w:b/>
          <w:sz w:val="28"/>
          <w:szCs w:val="28"/>
          <w:highlight w:val="none"/>
        </w:rPr>
      </w:pPr>
    </w:p>
    <w:p w14:paraId="3BC121B9">
      <w:pPr>
        <w:rPr>
          <w:rFonts w:hint="eastAsia" w:ascii="仿宋" w:hAnsi="仿宋" w:eastAsia="仿宋" w:cs="仿宋"/>
          <w:b/>
          <w:sz w:val="28"/>
          <w:szCs w:val="28"/>
          <w:highlight w:val="none"/>
        </w:rPr>
      </w:pPr>
      <w:r>
        <w:rPr>
          <w:rFonts w:hint="eastAsia" w:ascii="仿宋" w:hAnsi="仿宋" w:eastAsia="仿宋" w:cs="仿宋"/>
          <w:b/>
          <w:sz w:val="28"/>
          <w:szCs w:val="28"/>
          <w:highlight w:val="none"/>
        </w:rPr>
        <w:t>五、 售后服务</w:t>
      </w:r>
    </w:p>
    <w:p w14:paraId="16C497E9">
      <w:pPr>
        <w:rPr>
          <w:rFonts w:hint="eastAsia" w:asciiTheme="minorEastAsia" w:hAnsiTheme="minorEastAsia" w:eastAsiaTheme="minorEastAsia"/>
          <w:b/>
          <w:sz w:val="28"/>
          <w:szCs w:val="28"/>
          <w:highlight w:val="none"/>
        </w:rPr>
      </w:pPr>
    </w:p>
    <w:p w14:paraId="25567C66">
      <w:pPr>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（根据招标要求由投标人自行编写）                                   </w:t>
      </w:r>
    </w:p>
    <w:p w14:paraId="01EF2C20">
      <w:pPr>
        <w:rPr>
          <w:rFonts w:hint="eastAsia" w:ascii="仿宋" w:hAnsi="仿宋" w:eastAsia="仿宋" w:cs="仿宋"/>
          <w:b/>
          <w:sz w:val="28"/>
          <w:szCs w:val="28"/>
          <w:highlight w:val="none"/>
        </w:rPr>
      </w:pPr>
    </w:p>
    <w:p w14:paraId="4F7C7DA6">
      <w:pPr>
        <w:rPr>
          <w:rFonts w:hint="eastAsia" w:ascii="仿宋" w:hAnsi="仿宋" w:eastAsia="仿宋" w:cs="仿宋"/>
          <w:b/>
          <w:sz w:val="28"/>
          <w:szCs w:val="28"/>
          <w:highlight w:val="none"/>
        </w:rPr>
      </w:pPr>
    </w:p>
    <w:p w14:paraId="75ED21B8">
      <w:pPr>
        <w:rPr>
          <w:rFonts w:hint="eastAsia" w:ascii="仿宋" w:hAnsi="仿宋" w:eastAsia="仿宋" w:cs="仿宋"/>
          <w:b/>
          <w:sz w:val="28"/>
          <w:szCs w:val="28"/>
          <w:highlight w:val="none"/>
        </w:rPr>
      </w:pPr>
    </w:p>
    <w:p w14:paraId="25338D93">
      <w:pPr>
        <w:rPr>
          <w:rFonts w:hint="eastAsia" w:ascii="仿宋" w:hAnsi="仿宋" w:eastAsia="仿宋" w:cs="仿宋"/>
          <w:b/>
          <w:sz w:val="28"/>
          <w:szCs w:val="28"/>
          <w:highlight w:val="none"/>
        </w:rPr>
      </w:pPr>
    </w:p>
    <w:p w14:paraId="45CB1273">
      <w:pPr>
        <w:rPr>
          <w:rFonts w:hint="eastAsia" w:ascii="仿宋" w:hAnsi="仿宋" w:eastAsia="仿宋" w:cs="仿宋"/>
          <w:b/>
          <w:sz w:val="28"/>
          <w:szCs w:val="28"/>
          <w:highlight w:val="none"/>
        </w:rPr>
      </w:pPr>
    </w:p>
    <w:p w14:paraId="1A8F9BA6">
      <w:pPr>
        <w:rPr>
          <w:rFonts w:hint="eastAsia" w:ascii="仿宋" w:hAnsi="仿宋" w:eastAsia="仿宋" w:cs="仿宋"/>
          <w:b/>
          <w:sz w:val="28"/>
          <w:szCs w:val="28"/>
          <w:highlight w:val="none"/>
        </w:rPr>
      </w:pPr>
    </w:p>
    <w:p w14:paraId="1252E8ED">
      <w:pPr>
        <w:rPr>
          <w:rFonts w:hint="eastAsia" w:ascii="仿宋" w:hAnsi="仿宋" w:eastAsia="仿宋" w:cs="仿宋"/>
          <w:b/>
          <w:sz w:val="28"/>
          <w:szCs w:val="28"/>
          <w:highlight w:val="none"/>
        </w:rPr>
      </w:pPr>
    </w:p>
    <w:p w14:paraId="11BE99BA">
      <w:pPr>
        <w:rPr>
          <w:rFonts w:hint="eastAsia" w:ascii="仿宋" w:hAnsi="仿宋" w:eastAsia="仿宋" w:cs="仿宋"/>
          <w:b/>
          <w:sz w:val="28"/>
          <w:szCs w:val="28"/>
          <w:highlight w:val="none"/>
        </w:rPr>
      </w:pPr>
    </w:p>
    <w:p w14:paraId="581C2EF0">
      <w:pPr>
        <w:rPr>
          <w:rFonts w:hint="eastAsia" w:ascii="仿宋" w:hAnsi="仿宋" w:eastAsia="仿宋" w:cs="仿宋"/>
          <w:b/>
          <w:sz w:val="28"/>
          <w:szCs w:val="28"/>
          <w:highlight w:val="none"/>
        </w:rPr>
      </w:pPr>
    </w:p>
    <w:p w14:paraId="4C419A22">
      <w:pPr>
        <w:rPr>
          <w:rFonts w:hint="eastAsia" w:ascii="仿宋" w:hAnsi="仿宋" w:eastAsia="仿宋" w:cs="仿宋"/>
          <w:b/>
          <w:sz w:val="28"/>
          <w:szCs w:val="28"/>
          <w:highlight w:val="none"/>
        </w:rPr>
      </w:pPr>
    </w:p>
    <w:p w14:paraId="0BC2E83D">
      <w:pPr>
        <w:rPr>
          <w:rFonts w:hint="eastAsia" w:ascii="仿宋" w:hAnsi="仿宋" w:eastAsia="仿宋" w:cs="仿宋"/>
          <w:b/>
          <w:sz w:val="28"/>
          <w:szCs w:val="28"/>
          <w:highlight w:val="none"/>
        </w:rPr>
      </w:pPr>
    </w:p>
    <w:p w14:paraId="4F54367D">
      <w:pPr>
        <w:rPr>
          <w:rFonts w:hint="eastAsia" w:ascii="仿宋" w:hAnsi="仿宋" w:eastAsia="仿宋" w:cs="仿宋"/>
          <w:b/>
          <w:sz w:val="28"/>
          <w:szCs w:val="28"/>
          <w:highlight w:val="none"/>
        </w:rPr>
      </w:pPr>
    </w:p>
    <w:p w14:paraId="6CBB3A71">
      <w:pPr>
        <w:rPr>
          <w:rFonts w:hint="eastAsia" w:ascii="仿宋" w:hAnsi="仿宋" w:eastAsia="仿宋" w:cs="仿宋"/>
          <w:b/>
          <w:sz w:val="28"/>
          <w:szCs w:val="28"/>
          <w:highlight w:val="none"/>
        </w:rPr>
      </w:pPr>
    </w:p>
    <w:p w14:paraId="65BDE381">
      <w:pPr>
        <w:rPr>
          <w:rFonts w:hint="eastAsia" w:ascii="仿宋" w:hAnsi="仿宋" w:eastAsia="仿宋" w:cs="仿宋"/>
          <w:b/>
          <w:sz w:val="28"/>
          <w:szCs w:val="28"/>
          <w:highlight w:val="none"/>
        </w:rPr>
      </w:pPr>
    </w:p>
    <w:p w14:paraId="40CDBFC7">
      <w:pPr>
        <w:rPr>
          <w:rFonts w:hint="eastAsia" w:ascii="仿宋" w:hAnsi="仿宋" w:eastAsia="仿宋" w:cs="仿宋"/>
          <w:b/>
          <w:sz w:val="28"/>
          <w:szCs w:val="28"/>
          <w:highlight w:val="none"/>
        </w:rPr>
      </w:pPr>
    </w:p>
    <w:p w14:paraId="30430F0F">
      <w:pPr>
        <w:rPr>
          <w:rFonts w:hint="eastAsia" w:ascii="仿宋" w:hAnsi="仿宋" w:eastAsia="仿宋" w:cs="仿宋"/>
          <w:b/>
          <w:sz w:val="28"/>
          <w:szCs w:val="28"/>
          <w:highlight w:val="none"/>
        </w:rPr>
      </w:pPr>
    </w:p>
    <w:p w14:paraId="17A57D28">
      <w:pPr>
        <w:rPr>
          <w:rFonts w:hint="eastAsia" w:ascii="仿宋" w:hAnsi="仿宋" w:eastAsia="仿宋" w:cs="仿宋"/>
          <w:b/>
          <w:sz w:val="28"/>
          <w:szCs w:val="28"/>
          <w:highlight w:val="none"/>
        </w:rPr>
      </w:pPr>
    </w:p>
    <w:p w14:paraId="42BF1EAE">
      <w:pPr>
        <w:rPr>
          <w:rFonts w:hint="eastAsia" w:ascii="仿宋" w:hAnsi="仿宋" w:eastAsia="仿宋" w:cs="仿宋"/>
          <w:b/>
          <w:sz w:val="28"/>
          <w:szCs w:val="28"/>
          <w:highlight w:val="none"/>
        </w:rPr>
      </w:pPr>
    </w:p>
    <w:p w14:paraId="3908C710">
      <w:pPr>
        <w:rPr>
          <w:rFonts w:hint="eastAsia" w:ascii="仿宋" w:hAnsi="仿宋" w:eastAsia="仿宋" w:cs="仿宋"/>
          <w:b/>
          <w:sz w:val="28"/>
          <w:szCs w:val="28"/>
          <w:highlight w:val="none"/>
        </w:rPr>
      </w:pPr>
    </w:p>
    <w:p w14:paraId="20C98017">
      <w:pPr>
        <w:rPr>
          <w:rFonts w:hint="eastAsia" w:ascii="仿宋" w:hAnsi="仿宋" w:eastAsia="仿宋" w:cs="仿宋"/>
          <w:b/>
          <w:sz w:val="28"/>
          <w:szCs w:val="28"/>
          <w:highlight w:val="none"/>
        </w:rPr>
      </w:pPr>
    </w:p>
    <w:p w14:paraId="6D43AC93">
      <w:pPr>
        <w:rPr>
          <w:rFonts w:hint="eastAsia" w:ascii="仿宋" w:hAnsi="仿宋" w:eastAsia="仿宋" w:cs="仿宋"/>
          <w:b/>
          <w:sz w:val="28"/>
          <w:szCs w:val="28"/>
          <w:highlight w:val="none"/>
        </w:rPr>
      </w:pPr>
    </w:p>
    <w:p w14:paraId="58406269">
      <w:pPr>
        <w:rPr>
          <w:rFonts w:hint="eastAsia" w:ascii="仿宋" w:hAnsi="仿宋" w:eastAsia="仿宋" w:cs="仿宋"/>
          <w:b/>
          <w:sz w:val="28"/>
          <w:szCs w:val="28"/>
          <w:highlight w:val="none"/>
        </w:rPr>
      </w:pPr>
    </w:p>
    <w:p w14:paraId="390C3C46">
      <w:pPr>
        <w:rPr>
          <w:rFonts w:hint="eastAsia" w:ascii="仿宋" w:hAnsi="仿宋" w:eastAsia="仿宋" w:cs="仿宋"/>
          <w:b/>
          <w:sz w:val="28"/>
          <w:szCs w:val="28"/>
          <w:highlight w:val="none"/>
        </w:rPr>
      </w:pPr>
    </w:p>
    <w:p w14:paraId="25711303">
      <w:pPr>
        <w:rPr>
          <w:rFonts w:hint="eastAsia" w:ascii="仿宋" w:hAnsi="仿宋" w:eastAsia="仿宋" w:cs="仿宋"/>
          <w:b/>
          <w:sz w:val="28"/>
          <w:szCs w:val="28"/>
          <w:highlight w:val="none"/>
        </w:rPr>
      </w:pPr>
    </w:p>
    <w:p w14:paraId="7DF31BCC">
      <w:pPr>
        <w:rPr>
          <w:rFonts w:hint="eastAsia" w:ascii="仿宋" w:hAnsi="仿宋" w:eastAsia="仿宋" w:cs="仿宋"/>
          <w:b/>
          <w:sz w:val="28"/>
          <w:szCs w:val="28"/>
          <w:highlight w:val="none"/>
        </w:rPr>
      </w:pPr>
    </w:p>
    <w:p w14:paraId="727E6CC6">
      <w:pPr>
        <w:rPr>
          <w:rFonts w:hint="eastAsia" w:ascii="仿宋" w:hAnsi="仿宋" w:eastAsia="仿宋" w:cs="仿宋"/>
          <w:b/>
          <w:sz w:val="28"/>
          <w:szCs w:val="28"/>
          <w:highlight w:val="none"/>
        </w:rPr>
      </w:pPr>
    </w:p>
    <w:p w14:paraId="771FD7F2">
      <w:pPr>
        <w:rPr>
          <w:rFonts w:hint="eastAsia" w:ascii="仿宋" w:hAnsi="仿宋" w:eastAsia="仿宋" w:cs="仿宋"/>
          <w:b/>
          <w:sz w:val="28"/>
          <w:szCs w:val="28"/>
          <w:highlight w:val="none"/>
        </w:rPr>
      </w:pPr>
    </w:p>
    <w:p w14:paraId="1BAC4E09">
      <w:pPr>
        <w:rPr>
          <w:rFonts w:hint="eastAsia" w:ascii="仿宋" w:hAnsi="仿宋" w:eastAsia="仿宋" w:cs="仿宋"/>
          <w:b/>
          <w:sz w:val="28"/>
          <w:szCs w:val="28"/>
          <w:highlight w:val="none"/>
        </w:rPr>
      </w:pPr>
    </w:p>
    <w:p w14:paraId="3C3A7122">
      <w:pPr>
        <w:rPr>
          <w:rFonts w:hint="eastAsia" w:ascii="仿宋" w:hAnsi="仿宋" w:eastAsia="仿宋" w:cs="仿宋"/>
          <w:b/>
          <w:sz w:val="28"/>
          <w:szCs w:val="28"/>
          <w:highlight w:val="none"/>
        </w:rPr>
      </w:pPr>
    </w:p>
    <w:p w14:paraId="2912F23B">
      <w:pPr>
        <w:rPr>
          <w:rFonts w:hint="eastAsia" w:ascii="仿宋" w:hAnsi="仿宋" w:eastAsia="仿宋" w:cs="仿宋"/>
          <w:b/>
          <w:sz w:val="28"/>
          <w:szCs w:val="28"/>
          <w:highlight w:val="none"/>
        </w:rPr>
      </w:pPr>
    </w:p>
    <w:p w14:paraId="56E382D8">
      <w:pPr>
        <w:rPr>
          <w:rFonts w:hint="eastAsia" w:ascii="仿宋" w:hAnsi="仿宋" w:eastAsia="仿宋" w:cs="仿宋"/>
          <w:b/>
          <w:sz w:val="28"/>
          <w:szCs w:val="28"/>
          <w:highlight w:val="none"/>
        </w:rPr>
      </w:pPr>
    </w:p>
    <w:p w14:paraId="711F8842">
      <w:pPr>
        <w:rPr>
          <w:rFonts w:hint="eastAsia" w:ascii="仿宋" w:hAnsi="仿宋" w:eastAsia="仿宋" w:cs="仿宋"/>
          <w:b/>
          <w:sz w:val="28"/>
          <w:szCs w:val="28"/>
          <w:highlight w:val="none"/>
        </w:rPr>
      </w:pPr>
    </w:p>
    <w:p w14:paraId="61BB4C7A">
      <w:pPr>
        <w:rPr>
          <w:rFonts w:hint="eastAsia" w:ascii="仿宋" w:hAnsi="仿宋" w:eastAsia="仿宋" w:cs="仿宋"/>
          <w:b/>
          <w:sz w:val="28"/>
          <w:szCs w:val="28"/>
          <w:highlight w:val="none"/>
        </w:rPr>
      </w:pPr>
    </w:p>
    <w:p w14:paraId="6971D1F0">
      <w:pPr>
        <w:rPr>
          <w:rFonts w:hint="eastAsia" w:ascii="仿宋" w:hAnsi="仿宋" w:eastAsia="仿宋" w:cs="仿宋"/>
          <w:b/>
          <w:sz w:val="28"/>
          <w:szCs w:val="28"/>
          <w:highlight w:val="none"/>
        </w:rPr>
      </w:pPr>
    </w:p>
    <w:p w14:paraId="4E8FDA6C">
      <w:pPr>
        <w:pStyle w:val="41"/>
        <w:ind w:firstLine="281"/>
        <w:rPr>
          <w:rFonts w:hint="eastAsia" w:ascii="仿宋" w:hAnsi="仿宋" w:eastAsia="仿宋" w:cs="仿宋"/>
          <w:b/>
          <w:sz w:val="28"/>
          <w:szCs w:val="28"/>
          <w:highlight w:val="none"/>
        </w:rPr>
      </w:pPr>
    </w:p>
    <w:p w14:paraId="5073AFEE">
      <w:pPr>
        <w:pStyle w:val="41"/>
        <w:ind w:firstLine="240"/>
        <w:rPr>
          <w:highlight w:val="none"/>
        </w:rPr>
      </w:pPr>
    </w:p>
    <w:p w14:paraId="657BBCB6">
      <w:pPr>
        <w:numPr>
          <w:ilvl w:val="0"/>
          <w:numId w:val="11"/>
        </w:numPr>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相关资质证明及承诺    </w:t>
      </w:r>
    </w:p>
    <w:p w14:paraId="2571362A">
      <w:pPr>
        <w:numPr>
          <w:ilvl w:val="0"/>
          <w:numId w:val="0"/>
        </w:numPr>
        <w:rPr>
          <w:rFonts w:hint="default" w:ascii="仿宋" w:hAnsi="仿宋" w:eastAsia="仿宋" w:cs="仿宋"/>
          <w:b/>
          <w:sz w:val="28"/>
          <w:szCs w:val="28"/>
          <w:highlight w:val="none"/>
          <w:lang w:val="en-US" w:eastAsia="zh-CN"/>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
          <w:sz w:val="28"/>
          <w:szCs w:val="28"/>
          <w:highlight w:val="none"/>
          <w:lang w:val="en-US" w:eastAsia="zh-CN"/>
        </w:rPr>
        <w:t>营业执照、</w:t>
      </w:r>
      <w:r>
        <w:rPr>
          <w:rFonts w:hint="eastAsia" w:ascii="仿宋" w:hAnsi="仿宋" w:eastAsia="仿宋" w:cs="仿宋"/>
          <w:b/>
          <w:sz w:val="28"/>
          <w:szCs w:val="28"/>
          <w:highlight w:val="none"/>
        </w:rPr>
        <w:t xml:space="preserve"> </w:t>
      </w:r>
      <w:r>
        <w:rPr>
          <w:rFonts w:hint="eastAsia" w:ascii="仿宋" w:hAnsi="仿宋" w:eastAsia="仿宋" w:cs="仿宋"/>
          <w:b/>
          <w:sz w:val="28"/>
          <w:szCs w:val="28"/>
          <w:highlight w:val="none"/>
          <w:lang w:val="en-US" w:eastAsia="zh-CN"/>
        </w:rPr>
        <w:t>员工持证、荣誉等</w:t>
      </w:r>
    </w:p>
    <w:p w14:paraId="279DCCEF">
      <w:pPr>
        <w:rPr>
          <w:rFonts w:hint="eastAsia" w:ascii="仿宋" w:hAnsi="仿宋" w:eastAsia="仿宋" w:cs="仿宋"/>
          <w:b/>
          <w:sz w:val="28"/>
          <w:szCs w:val="28"/>
          <w:highlight w:val="none"/>
        </w:rPr>
      </w:pPr>
      <w:r>
        <w:rPr>
          <w:rFonts w:hint="eastAsia" w:ascii="仿宋" w:hAnsi="仿宋" w:eastAsia="仿宋" w:cs="仿宋"/>
          <w:b/>
          <w:sz w:val="28"/>
          <w:szCs w:val="28"/>
          <w:highlight w:val="none"/>
        </w:rPr>
        <w:t>七、投标业绩一览表</w:t>
      </w:r>
    </w:p>
    <w:tbl>
      <w:tblPr>
        <w:tblStyle w:val="42"/>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14:paraId="31F70A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14:paraId="6BCBBB0C">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年份</w:t>
            </w:r>
          </w:p>
        </w:tc>
        <w:tc>
          <w:tcPr>
            <w:tcW w:w="1239" w:type="dxa"/>
            <w:vAlign w:val="center"/>
          </w:tcPr>
          <w:p w14:paraId="01D3AD7B">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用户名称</w:t>
            </w:r>
          </w:p>
        </w:tc>
        <w:tc>
          <w:tcPr>
            <w:tcW w:w="1260" w:type="dxa"/>
            <w:vAlign w:val="center"/>
          </w:tcPr>
          <w:p w14:paraId="30B2ED60">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项目名称</w:t>
            </w:r>
          </w:p>
        </w:tc>
        <w:tc>
          <w:tcPr>
            <w:tcW w:w="1620" w:type="dxa"/>
            <w:vAlign w:val="center"/>
          </w:tcPr>
          <w:p w14:paraId="5B493D5D">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完成时间或在建</w:t>
            </w:r>
          </w:p>
        </w:tc>
        <w:tc>
          <w:tcPr>
            <w:tcW w:w="1620" w:type="dxa"/>
            <w:tcBorders>
              <w:right w:val="single" w:color="auto" w:sz="4" w:space="0"/>
            </w:tcBorders>
            <w:vAlign w:val="center"/>
          </w:tcPr>
          <w:p w14:paraId="23C40030">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完成项目质量</w:t>
            </w:r>
          </w:p>
        </w:tc>
        <w:tc>
          <w:tcPr>
            <w:tcW w:w="1341" w:type="dxa"/>
            <w:tcBorders>
              <w:left w:val="single" w:color="auto" w:sz="4" w:space="0"/>
            </w:tcBorders>
            <w:vAlign w:val="center"/>
          </w:tcPr>
          <w:p w14:paraId="3147FE64">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备注</w:t>
            </w:r>
          </w:p>
        </w:tc>
      </w:tr>
      <w:tr w14:paraId="5F746E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D62AD6C">
            <w:pPr>
              <w:spacing w:line="500" w:lineRule="exact"/>
              <w:jc w:val="center"/>
              <w:rPr>
                <w:rFonts w:hint="eastAsia" w:ascii="宋体" w:hAnsi="宋体" w:cs="宋体"/>
                <w:sz w:val="21"/>
                <w:szCs w:val="21"/>
                <w:highlight w:val="none"/>
              </w:rPr>
            </w:pPr>
          </w:p>
        </w:tc>
        <w:tc>
          <w:tcPr>
            <w:tcW w:w="1239" w:type="dxa"/>
            <w:vAlign w:val="center"/>
          </w:tcPr>
          <w:p w14:paraId="7DA4091C">
            <w:pPr>
              <w:spacing w:line="500" w:lineRule="exact"/>
              <w:jc w:val="center"/>
              <w:rPr>
                <w:rFonts w:hint="eastAsia" w:ascii="宋体" w:hAnsi="宋体" w:cs="宋体"/>
                <w:sz w:val="21"/>
                <w:szCs w:val="21"/>
                <w:highlight w:val="none"/>
              </w:rPr>
            </w:pPr>
          </w:p>
        </w:tc>
        <w:tc>
          <w:tcPr>
            <w:tcW w:w="1260" w:type="dxa"/>
            <w:vAlign w:val="center"/>
          </w:tcPr>
          <w:p w14:paraId="18FE6133">
            <w:pPr>
              <w:spacing w:line="500" w:lineRule="exact"/>
              <w:jc w:val="center"/>
              <w:rPr>
                <w:rFonts w:hint="eastAsia" w:ascii="宋体" w:hAnsi="宋体" w:cs="宋体"/>
                <w:sz w:val="21"/>
                <w:szCs w:val="21"/>
                <w:highlight w:val="none"/>
              </w:rPr>
            </w:pPr>
          </w:p>
        </w:tc>
        <w:tc>
          <w:tcPr>
            <w:tcW w:w="1620" w:type="dxa"/>
            <w:vAlign w:val="center"/>
          </w:tcPr>
          <w:p w14:paraId="71E395E6">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42FA977C">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22923E80">
            <w:pPr>
              <w:spacing w:line="500" w:lineRule="exact"/>
              <w:jc w:val="center"/>
              <w:rPr>
                <w:rFonts w:hint="eastAsia" w:ascii="宋体" w:hAnsi="宋体" w:cs="宋体"/>
                <w:sz w:val="21"/>
                <w:szCs w:val="21"/>
                <w:highlight w:val="none"/>
              </w:rPr>
            </w:pPr>
          </w:p>
        </w:tc>
      </w:tr>
      <w:tr w14:paraId="502552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10CB47BA">
            <w:pPr>
              <w:spacing w:line="500" w:lineRule="exact"/>
              <w:jc w:val="center"/>
              <w:rPr>
                <w:rFonts w:hint="eastAsia" w:ascii="宋体" w:hAnsi="宋体" w:cs="宋体"/>
                <w:sz w:val="21"/>
                <w:szCs w:val="21"/>
                <w:highlight w:val="none"/>
              </w:rPr>
            </w:pPr>
          </w:p>
        </w:tc>
        <w:tc>
          <w:tcPr>
            <w:tcW w:w="1239" w:type="dxa"/>
            <w:vAlign w:val="center"/>
          </w:tcPr>
          <w:p w14:paraId="618B6636">
            <w:pPr>
              <w:spacing w:line="500" w:lineRule="exact"/>
              <w:jc w:val="center"/>
              <w:rPr>
                <w:rFonts w:hint="eastAsia" w:ascii="宋体" w:hAnsi="宋体" w:cs="宋体"/>
                <w:sz w:val="21"/>
                <w:szCs w:val="21"/>
                <w:highlight w:val="none"/>
              </w:rPr>
            </w:pPr>
          </w:p>
        </w:tc>
        <w:tc>
          <w:tcPr>
            <w:tcW w:w="1260" w:type="dxa"/>
            <w:vAlign w:val="center"/>
          </w:tcPr>
          <w:p w14:paraId="3BDD15EF">
            <w:pPr>
              <w:spacing w:line="500" w:lineRule="exact"/>
              <w:jc w:val="center"/>
              <w:rPr>
                <w:rFonts w:hint="eastAsia" w:ascii="宋体" w:hAnsi="宋体" w:cs="宋体"/>
                <w:sz w:val="21"/>
                <w:szCs w:val="21"/>
                <w:highlight w:val="none"/>
              </w:rPr>
            </w:pPr>
          </w:p>
        </w:tc>
        <w:tc>
          <w:tcPr>
            <w:tcW w:w="1620" w:type="dxa"/>
            <w:vAlign w:val="center"/>
          </w:tcPr>
          <w:p w14:paraId="2B9F5661">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1AC197F0">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0FEE9DB8">
            <w:pPr>
              <w:spacing w:line="500" w:lineRule="exact"/>
              <w:jc w:val="center"/>
              <w:rPr>
                <w:rFonts w:hint="eastAsia" w:ascii="宋体" w:hAnsi="宋体" w:cs="宋体"/>
                <w:sz w:val="21"/>
                <w:szCs w:val="21"/>
                <w:highlight w:val="none"/>
              </w:rPr>
            </w:pPr>
          </w:p>
        </w:tc>
      </w:tr>
      <w:tr w14:paraId="4E6A69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42EAC841">
            <w:pPr>
              <w:spacing w:line="500" w:lineRule="exact"/>
              <w:jc w:val="center"/>
              <w:rPr>
                <w:rFonts w:hint="eastAsia" w:ascii="宋体" w:hAnsi="宋体" w:cs="宋体"/>
                <w:sz w:val="21"/>
                <w:szCs w:val="21"/>
                <w:highlight w:val="none"/>
              </w:rPr>
            </w:pPr>
          </w:p>
        </w:tc>
        <w:tc>
          <w:tcPr>
            <w:tcW w:w="1239" w:type="dxa"/>
            <w:vAlign w:val="center"/>
          </w:tcPr>
          <w:p w14:paraId="44113902">
            <w:pPr>
              <w:spacing w:line="500" w:lineRule="exact"/>
              <w:jc w:val="center"/>
              <w:rPr>
                <w:rFonts w:hint="eastAsia" w:ascii="宋体" w:hAnsi="宋体" w:cs="宋体"/>
                <w:sz w:val="21"/>
                <w:szCs w:val="21"/>
                <w:highlight w:val="none"/>
              </w:rPr>
            </w:pPr>
          </w:p>
        </w:tc>
        <w:tc>
          <w:tcPr>
            <w:tcW w:w="1260" w:type="dxa"/>
            <w:vAlign w:val="center"/>
          </w:tcPr>
          <w:p w14:paraId="63C4E1EF">
            <w:pPr>
              <w:spacing w:line="500" w:lineRule="exact"/>
              <w:jc w:val="center"/>
              <w:rPr>
                <w:rFonts w:hint="eastAsia" w:ascii="宋体" w:hAnsi="宋体" w:cs="宋体"/>
                <w:sz w:val="21"/>
                <w:szCs w:val="21"/>
                <w:highlight w:val="none"/>
              </w:rPr>
            </w:pPr>
          </w:p>
        </w:tc>
        <w:tc>
          <w:tcPr>
            <w:tcW w:w="1620" w:type="dxa"/>
            <w:vAlign w:val="center"/>
          </w:tcPr>
          <w:p w14:paraId="131C705C">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450F276E">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71686EAA">
            <w:pPr>
              <w:spacing w:line="500" w:lineRule="exact"/>
              <w:jc w:val="center"/>
              <w:rPr>
                <w:rFonts w:hint="eastAsia" w:ascii="宋体" w:hAnsi="宋体" w:cs="宋体"/>
                <w:sz w:val="21"/>
                <w:szCs w:val="21"/>
                <w:highlight w:val="none"/>
              </w:rPr>
            </w:pPr>
          </w:p>
        </w:tc>
      </w:tr>
      <w:tr w14:paraId="7FE482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35BED4A">
            <w:pPr>
              <w:spacing w:line="500" w:lineRule="exact"/>
              <w:jc w:val="center"/>
              <w:rPr>
                <w:rFonts w:hint="eastAsia" w:ascii="宋体" w:hAnsi="宋体" w:cs="宋体"/>
                <w:sz w:val="21"/>
                <w:szCs w:val="21"/>
                <w:highlight w:val="none"/>
              </w:rPr>
            </w:pPr>
          </w:p>
        </w:tc>
        <w:tc>
          <w:tcPr>
            <w:tcW w:w="1239" w:type="dxa"/>
            <w:tcBorders>
              <w:right w:val="single" w:color="auto" w:sz="4" w:space="0"/>
            </w:tcBorders>
            <w:vAlign w:val="center"/>
          </w:tcPr>
          <w:p w14:paraId="58AB1689">
            <w:pPr>
              <w:spacing w:line="500" w:lineRule="exact"/>
              <w:jc w:val="center"/>
              <w:rPr>
                <w:rFonts w:hint="eastAsia" w:ascii="宋体" w:hAnsi="宋体" w:cs="宋体"/>
                <w:sz w:val="21"/>
                <w:szCs w:val="21"/>
                <w:highlight w:val="none"/>
              </w:rPr>
            </w:pPr>
          </w:p>
        </w:tc>
        <w:tc>
          <w:tcPr>
            <w:tcW w:w="1260" w:type="dxa"/>
            <w:tcBorders>
              <w:left w:val="single" w:color="auto" w:sz="4" w:space="0"/>
            </w:tcBorders>
            <w:vAlign w:val="center"/>
          </w:tcPr>
          <w:p w14:paraId="368C59C4">
            <w:pPr>
              <w:spacing w:line="500" w:lineRule="exact"/>
              <w:jc w:val="center"/>
              <w:rPr>
                <w:rFonts w:hint="eastAsia" w:ascii="宋体" w:hAnsi="宋体" w:cs="宋体"/>
                <w:sz w:val="21"/>
                <w:szCs w:val="21"/>
                <w:highlight w:val="none"/>
              </w:rPr>
            </w:pPr>
          </w:p>
        </w:tc>
        <w:tc>
          <w:tcPr>
            <w:tcW w:w="1620" w:type="dxa"/>
            <w:vAlign w:val="center"/>
          </w:tcPr>
          <w:p w14:paraId="415C7F6E">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149186E4">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2DF089D5">
            <w:pPr>
              <w:spacing w:line="500" w:lineRule="exact"/>
              <w:jc w:val="center"/>
              <w:rPr>
                <w:rFonts w:hint="eastAsia" w:ascii="宋体" w:hAnsi="宋体" w:cs="宋体"/>
                <w:sz w:val="21"/>
                <w:szCs w:val="21"/>
                <w:highlight w:val="none"/>
              </w:rPr>
            </w:pPr>
          </w:p>
        </w:tc>
      </w:tr>
      <w:tr w14:paraId="647A0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14:paraId="7C66A5B9">
            <w:pPr>
              <w:spacing w:line="500" w:lineRule="exact"/>
              <w:jc w:val="center"/>
              <w:rPr>
                <w:rFonts w:hint="eastAsia" w:ascii="宋体" w:hAnsi="宋体" w:cs="宋体"/>
                <w:sz w:val="21"/>
                <w:szCs w:val="21"/>
                <w:highlight w:val="none"/>
              </w:rPr>
            </w:pPr>
          </w:p>
        </w:tc>
        <w:tc>
          <w:tcPr>
            <w:tcW w:w="1239" w:type="dxa"/>
            <w:tcBorders>
              <w:left w:val="single" w:color="auto" w:sz="4" w:space="0"/>
              <w:right w:val="single" w:color="auto" w:sz="4" w:space="0"/>
            </w:tcBorders>
            <w:vAlign w:val="center"/>
          </w:tcPr>
          <w:p w14:paraId="08F09270">
            <w:pPr>
              <w:spacing w:line="500" w:lineRule="exact"/>
              <w:jc w:val="center"/>
              <w:rPr>
                <w:rFonts w:hint="eastAsia" w:ascii="宋体" w:hAnsi="宋体" w:cs="宋体"/>
                <w:sz w:val="21"/>
                <w:szCs w:val="21"/>
                <w:highlight w:val="none"/>
              </w:rPr>
            </w:pPr>
          </w:p>
        </w:tc>
        <w:tc>
          <w:tcPr>
            <w:tcW w:w="1260" w:type="dxa"/>
            <w:tcBorders>
              <w:left w:val="single" w:color="auto" w:sz="4" w:space="0"/>
              <w:right w:val="single" w:color="auto" w:sz="4" w:space="0"/>
            </w:tcBorders>
            <w:vAlign w:val="center"/>
          </w:tcPr>
          <w:p w14:paraId="102E7947">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61EF612C">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376FC0A8">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553EC78B">
            <w:pPr>
              <w:spacing w:line="500" w:lineRule="exact"/>
              <w:jc w:val="center"/>
              <w:rPr>
                <w:rFonts w:hint="eastAsia" w:ascii="宋体" w:hAnsi="宋体" w:cs="宋体"/>
                <w:sz w:val="21"/>
                <w:szCs w:val="21"/>
                <w:highlight w:val="none"/>
              </w:rPr>
            </w:pPr>
          </w:p>
        </w:tc>
      </w:tr>
      <w:tr w14:paraId="021D12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8CC0DFB">
            <w:pPr>
              <w:spacing w:line="500" w:lineRule="exact"/>
              <w:jc w:val="center"/>
              <w:rPr>
                <w:rFonts w:hint="eastAsia" w:ascii="宋体" w:hAnsi="宋体" w:cs="宋体"/>
                <w:sz w:val="21"/>
                <w:szCs w:val="21"/>
                <w:highlight w:val="none"/>
              </w:rPr>
            </w:pPr>
          </w:p>
        </w:tc>
        <w:tc>
          <w:tcPr>
            <w:tcW w:w="1239" w:type="dxa"/>
            <w:vAlign w:val="center"/>
          </w:tcPr>
          <w:p w14:paraId="074127C9">
            <w:pPr>
              <w:spacing w:line="500" w:lineRule="exact"/>
              <w:jc w:val="center"/>
              <w:rPr>
                <w:rFonts w:hint="eastAsia" w:ascii="宋体" w:hAnsi="宋体" w:cs="宋体"/>
                <w:sz w:val="21"/>
                <w:szCs w:val="21"/>
                <w:highlight w:val="none"/>
              </w:rPr>
            </w:pPr>
          </w:p>
        </w:tc>
        <w:tc>
          <w:tcPr>
            <w:tcW w:w="1260" w:type="dxa"/>
            <w:vAlign w:val="center"/>
          </w:tcPr>
          <w:p w14:paraId="699FF613">
            <w:pPr>
              <w:spacing w:line="500" w:lineRule="exact"/>
              <w:jc w:val="center"/>
              <w:rPr>
                <w:rFonts w:hint="eastAsia" w:ascii="宋体" w:hAnsi="宋体" w:cs="宋体"/>
                <w:sz w:val="21"/>
                <w:szCs w:val="21"/>
                <w:highlight w:val="none"/>
              </w:rPr>
            </w:pPr>
          </w:p>
        </w:tc>
        <w:tc>
          <w:tcPr>
            <w:tcW w:w="1620" w:type="dxa"/>
            <w:vAlign w:val="center"/>
          </w:tcPr>
          <w:p w14:paraId="38B02F9D">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5A1F6569">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01826303">
            <w:pPr>
              <w:spacing w:line="500" w:lineRule="exact"/>
              <w:jc w:val="center"/>
              <w:rPr>
                <w:rFonts w:hint="eastAsia" w:ascii="宋体" w:hAnsi="宋体" w:cs="宋体"/>
                <w:sz w:val="21"/>
                <w:szCs w:val="21"/>
                <w:highlight w:val="none"/>
              </w:rPr>
            </w:pPr>
          </w:p>
        </w:tc>
      </w:tr>
      <w:tr w14:paraId="278744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06907D8">
            <w:pPr>
              <w:spacing w:line="500" w:lineRule="exact"/>
              <w:jc w:val="center"/>
              <w:rPr>
                <w:rFonts w:hint="eastAsia" w:ascii="宋体" w:hAnsi="宋体" w:cs="宋体"/>
                <w:sz w:val="21"/>
                <w:szCs w:val="21"/>
                <w:highlight w:val="none"/>
              </w:rPr>
            </w:pPr>
          </w:p>
        </w:tc>
        <w:tc>
          <w:tcPr>
            <w:tcW w:w="1239" w:type="dxa"/>
            <w:vAlign w:val="center"/>
          </w:tcPr>
          <w:p w14:paraId="485EB5DB">
            <w:pPr>
              <w:spacing w:line="500" w:lineRule="exact"/>
              <w:jc w:val="center"/>
              <w:rPr>
                <w:rFonts w:hint="eastAsia" w:ascii="宋体" w:hAnsi="宋体" w:cs="宋体"/>
                <w:sz w:val="21"/>
                <w:szCs w:val="21"/>
                <w:highlight w:val="none"/>
              </w:rPr>
            </w:pPr>
          </w:p>
        </w:tc>
        <w:tc>
          <w:tcPr>
            <w:tcW w:w="1260" w:type="dxa"/>
            <w:vAlign w:val="center"/>
          </w:tcPr>
          <w:p w14:paraId="74736F94">
            <w:pPr>
              <w:spacing w:line="500" w:lineRule="exact"/>
              <w:jc w:val="center"/>
              <w:rPr>
                <w:rFonts w:hint="eastAsia" w:ascii="宋体" w:hAnsi="宋体" w:cs="宋体"/>
                <w:sz w:val="21"/>
                <w:szCs w:val="21"/>
                <w:highlight w:val="none"/>
              </w:rPr>
            </w:pPr>
          </w:p>
        </w:tc>
        <w:tc>
          <w:tcPr>
            <w:tcW w:w="1620" w:type="dxa"/>
            <w:vAlign w:val="center"/>
          </w:tcPr>
          <w:p w14:paraId="0B8C8132">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28451B87">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7E3DE501">
            <w:pPr>
              <w:spacing w:line="500" w:lineRule="exact"/>
              <w:jc w:val="center"/>
              <w:rPr>
                <w:rFonts w:hint="eastAsia" w:ascii="宋体" w:hAnsi="宋体" w:cs="宋体"/>
                <w:sz w:val="21"/>
                <w:szCs w:val="21"/>
                <w:highlight w:val="none"/>
              </w:rPr>
            </w:pPr>
          </w:p>
        </w:tc>
      </w:tr>
      <w:tr w14:paraId="0B55FC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B6887C2">
            <w:pPr>
              <w:spacing w:line="500" w:lineRule="exact"/>
              <w:jc w:val="center"/>
              <w:rPr>
                <w:rFonts w:hint="eastAsia" w:ascii="宋体" w:hAnsi="宋体" w:cs="宋体"/>
                <w:sz w:val="21"/>
                <w:szCs w:val="21"/>
                <w:highlight w:val="none"/>
              </w:rPr>
            </w:pPr>
          </w:p>
        </w:tc>
        <w:tc>
          <w:tcPr>
            <w:tcW w:w="1239" w:type="dxa"/>
            <w:vAlign w:val="center"/>
          </w:tcPr>
          <w:p w14:paraId="442CD1ED">
            <w:pPr>
              <w:spacing w:line="500" w:lineRule="exact"/>
              <w:jc w:val="center"/>
              <w:rPr>
                <w:rFonts w:hint="eastAsia" w:ascii="宋体" w:hAnsi="宋体" w:cs="宋体"/>
                <w:sz w:val="21"/>
                <w:szCs w:val="21"/>
                <w:highlight w:val="none"/>
              </w:rPr>
            </w:pPr>
          </w:p>
        </w:tc>
        <w:tc>
          <w:tcPr>
            <w:tcW w:w="1260" w:type="dxa"/>
            <w:vAlign w:val="center"/>
          </w:tcPr>
          <w:p w14:paraId="067E50A3">
            <w:pPr>
              <w:spacing w:line="500" w:lineRule="exact"/>
              <w:jc w:val="center"/>
              <w:rPr>
                <w:rFonts w:hint="eastAsia" w:ascii="宋体" w:hAnsi="宋体" w:cs="宋体"/>
                <w:sz w:val="21"/>
                <w:szCs w:val="21"/>
                <w:highlight w:val="none"/>
              </w:rPr>
            </w:pPr>
          </w:p>
        </w:tc>
        <w:tc>
          <w:tcPr>
            <w:tcW w:w="1620" w:type="dxa"/>
            <w:vAlign w:val="center"/>
          </w:tcPr>
          <w:p w14:paraId="36E82108">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02480301">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1FA801B3">
            <w:pPr>
              <w:spacing w:line="500" w:lineRule="exact"/>
              <w:jc w:val="center"/>
              <w:rPr>
                <w:rFonts w:hint="eastAsia" w:ascii="宋体" w:hAnsi="宋体" w:cs="宋体"/>
                <w:sz w:val="21"/>
                <w:szCs w:val="21"/>
                <w:highlight w:val="none"/>
              </w:rPr>
            </w:pPr>
          </w:p>
        </w:tc>
      </w:tr>
      <w:tr w14:paraId="51260B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14:paraId="7CCB8915">
            <w:pPr>
              <w:spacing w:line="500" w:lineRule="exact"/>
              <w:jc w:val="center"/>
              <w:rPr>
                <w:rFonts w:hint="eastAsia" w:ascii="宋体" w:hAnsi="宋体" w:cs="宋体"/>
                <w:sz w:val="21"/>
                <w:szCs w:val="21"/>
                <w:highlight w:val="none"/>
              </w:rPr>
            </w:pPr>
          </w:p>
        </w:tc>
        <w:tc>
          <w:tcPr>
            <w:tcW w:w="1239" w:type="dxa"/>
            <w:tcBorders>
              <w:bottom w:val="single" w:color="auto" w:sz="4" w:space="0"/>
            </w:tcBorders>
            <w:vAlign w:val="center"/>
          </w:tcPr>
          <w:p w14:paraId="2756DDB8">
            <w:pPr>
              <w:spacing w:line="500" w:lineRule="exact"/>
              <w:jc w:val="center"/>
              <w:rPr>
                <w:rFonts w:hint="eastAsia" w:ascii="宋体" w:hAnsi="宋体" w:cs="宋体"/>
                <w:sz w:val="21"/>
                <w:szCs w:val="21"/>
                <w:highlight w:val="none"/>
              </w:rPr>
            </w:pPr>
          </w:p>
        </w:tc>
        <w:tc>
          <w:tcPr>
            <w:tcW w:w="1260" w:type="dxa"/>
            <w:tcBorders>
              <w:bottom w:val="single" w:color="auto" w:sz="4" w:space="0"/>
            </w:tcBorders>
            <w:vAlign w:val="center"/>
          </w:tcPr>
          <w:p w14:paraId="4A84B5AF">
            <w:pPr>
              <w:spacing w:line="500" w:lineRule="exact"/>
              <w:jc w:val="center"/>
              <w:rPr>
                <w:rFonts w:hint="eastAsia" w:ascii="宋体" w:hAnsi="宋体" w:cs="宋体"/>
                <w:sz w:val="21"/>
                <w:szCs w:val="21"/>
                <w:highlight w:val="none"/>
              </w:rPr>
            </w:pPr>
          </w:p>
        </w:tc>
        <w:tc>
          <w:tcPr>
            <w:tcW w:w="1620" w:type="dxa"/>
            <w:tcBorders>
              <w:bottom w:val="single" w:color="auto" w:sz="4" w:space="0"/>
            </w:tcBorders>
            <w:vAlign w:val="center"/>
          </w:tcPr>
          <w:p w14:paraId="603ACC3F">
            <w:pPr>
              <w:spacing w:line="500" w:lineRule="exact"/>
              <w:jc w:val="center"/>
              <w:rPr>
                <w:rFonts w:hint="eastAsia" w:ascii="宋体" w:hAnsi="宋体" w:cs="宋体"/>
                <w:sz w:val="21"/>
                <w:szCs w:val="21"/>
                <w:highlight w:val="none"/>
              </w:rPr>
            </w:pPr>
          </w:p>
        </w:tc>
        <w:tc>
          <w:tcPr>
            <w:tcW w:w="1620" w:type="dxa"/>
            <w:tcBorders>
              <w:left w:val="single" w:color="auto" w:sz="4" w:space="0"/>
              <w:bottom w:val="single" w:color="auto" w:sz="4" w:space="0"/>
              <w:right w:val="single" w:color="auto" w:sz="4" w:space="0"/>
            </w:tcBorders>
            <w:vAlign w:val="center"/>
          </w:tcPr>
          <w:p w14:paraId="4ABA6647">
            <w:pPr>
              <w:spacing w:line="500" w:lineRule="exact"/>
              <w:jc w:val="center"/>
              <w:rPr>
                <w:rFonts w:hint="eastAsia" w:ascii="宋体" w:hAnsi="宋体" w:cs="宋体"/>
                <w:sz w:val="21"/>
                <w:szCs w:val="21"/>
                <w:highlight w:val="none"/>
              </w:rPr>
            </w:pPr>
          </w:p>
        </w:tc>
        <w:tc>
          <w:tcPr>
            <w:tcW w:w="1341" w:type="dxa"/>
            <w:tcBorders>
              <w:left w:val="single" w:color="auto" w:sz="4" w:space="0"/>
              <w:bottom w:val="single" w:color="auto" w:sz="4" w:space="0"/>
            </w:tcBorders>
            <w:vAlign w:val="center"/>
          </w:tcPr>
          <w:p w14:paraId="6BF28004">
            <w:pPr>
              <w:spacing w:line="500" w:lineRule="exact"/>
              <w:jc w:val="center"/>
              <w:rPr>
                <w:rFonts w:hint="eastAsia" w:ascii="宋体" w:hAnsi="宋体" w:cs="宋体"/>
                <w:sz w:val="21"/>
                <w:szCs w:val="21"/>
                <w:highlight w:val="none"/>
              </w:rPr>
            </w:pPr>
          </w:p>
        </w:tc>
      </w:tr>
      <w:tr w14:paraId="5B8CE2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3B96AC18">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1E54D635">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37AA7FA7">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22EFFFB0">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6C30CA7E">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26D52F86">
            <w:pPr>
              <w:spacing w:line="500" w:lineRule="exact"/>
              <w:jc w:val="center"/>
              <w:rPr>
                <w:rFonts w:hint="eastAsia" w:ascii="宋体" w:hAnsi="宋体" w:cs="宋体"/>
                <w:sz w:val="21"/>
                <w:szCs w:val="21"/>
                <w:highlight w:val="none"/>
              </w:rPr>
            </w:pPr>
          </w:p>
        </w:tc>
      </w:tr>
      <w:tr w14:paraId="4E837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46EB51C1">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4CAC2BE9">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041D5879">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74D7D0BA">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166F674F">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4ADAFF5D">
            <w:pPr>
              <w:spacing w:line="500" w:lineRule="exact"/>
              <w:jc w:val="center"/>
              <w:rPr>
                <w:rFonts w:hint="eastAsia" w:ascii="宋体" w:hAnsi="宋体" w:cs="宋体"/>
                <w:sz w:val="21"/>
                <w:szCs w:val="21"/>
                <w:highlight w:val="none"/>
              </w:rPr>
            </w:pPr>
          </w:p>
        </w:tc>
      </w:tr>
      <w:tr w14:paraId="619EE2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14:paraId="25BC8757">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4CA0C90E">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4F4DFD9E">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7E0786F0">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01D09EA6">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3B630AB7">
            <w:pPr>
              <w:spacing w:line="500" w:lineRule="exact"/>
              <w:jc w:val="center"/>
              <w:rPr>
                <w:rFonts w:hint="eastAsia" w:ascii="宋体" w:hAnsi="宋体" w:cs="宋体"/>
                <w:sz w:val="21"/>
                <w:szCs w:val="21"/>
                <w:highlight w:val="none"/>
              </w:rPr>
            </w:pPr>
          </w:p>
        </w:tc>
      </w:tr>
      <w:tr w14:paraId="747DA8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14:paraId="2754E533">
            <w:pPr>
              <w:spacing w:line="500" w:lineRule="exact"/>
              <w:jc w:val="center"/>
              <w:rPr>
                <w:rFonts w:hint="eastAsia" w:ascii="宋体" w:hAnsi="宋体" w:cs="宋体"/>
                <w:sz w:val="21"/>
                <w:szCs w:val="21"/>
                <w:highlight w:val="none"/>
              </w:rPr>
            </w:pPr>
          </w:p>
        </w:tc>
        <w:tc>
          <w:tcPr>
            <w:tcW w:w="1239" w:type="dxa"/>
            <w:tcBorders>
              <w:top w:val="single" w:color="auto" w:sz="4" w:space="0"/>
            </w:tcBorders>
            <w:vAlign w:val="center"/>
          </w:tcPr>
          <w:p w14:paraId="7EE9A2A0">
            <w:pPr>
              <w:spacing w:line="500" w:lineRule="exact"/>
              <w:jc w:val="center"/>
              <w:rPr>
                <w:rFonts w:hint="eastAsia" w:ascii="宋体" w:hAnsi="宋体" w:cs="宋体"/>
                <w:sz w:val="21"/>
                <w:szCs w:val="21"/>
                <w:highlight w:val="none"/>
              </w:rPr>
            </w:pPr>
          </w:p>
        </w:tc>
        <w:tc>
          <w:tcPr>
            <w:tcW w:w="1260" w:type="dxa"/>
            <w:tcBorders>
              <w:top w:val="single" w:color="auto" w:sz="4" w:space="0"/>
            </w:tcBorders>
            <w:vAlign w:val="center"/>
          </w:tcPr>
          <w:p w14:paraId="6410D0CE">
            <w:pPr>
              <w:spacing w:line="500" w:lineRule="exact"/>
              <w:jc w:val="center"/>
              <w:rPr>
                <w:rFonts w:hint="eastAsia" w:ascii="宋体" w:hAnsi="宋体" w:cs="宋体"/>
                <w:sz w:val="21"/>
                <w:szCs w:val="21"/>
                <w:highlight w:val="none"/>
              </w:rPr>
            </w:pPr>
          </w:p>
        </w:tc>
        <w:tc>
          <w:tcPr>
            <w:tcW w:w="1620" w:type="dxa"/>
            <w:tcBorders>
              <w:top w:val="single" w:color="auto" w:sz="4" w:space="0"/>
            </w:tcBorders>
            <w:vAlign w:val="center"/>
          </w:tcPr>
          <w:p w14:paraId="74275243">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right w:val="single" w:color="auto" w:sz="4" w:space="0"/>
            </w:tcBorders>
            <w:vAlign w:val="center"/>
          </w:tcPr>
          <w:p w14:paraId="238BD5F8">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tcBorders>
            <w:vAlign w:val="center"/>
          </w:tcPr>
          <w:p w14:paraId="469C47DC">
            <w:pPr>
              <w:spacing w:line="500" w:lineRule="exact"/>
              <w:jc w:val="center"/>
              <w:rPr>
                <w:rFonts w:hint="eastAsia" w:ascii="宋体" w:hAnsi="宋体" w:cs="宋体"/>
                <w:sz w:val="21"/>
                <w:szCs w:val="21"/>
                <w:highlight w:val="none"/>
              </w:rPr>
            </w:pPr>
          </w:p>
        </w:tc>
      </w:tr>
    </w:tbl>
    <w:p w14:paraId="13BCC1F4">
      <w:pPr>
        <w:spacing w:line="400" w:lineRule="exact"/>
        <w:rPr>
          <w:rFonts w:hint="eastAsia" w:ascii="仿宋" w:hAnsi="仿宋" w:eastAsia="仿宋" w:cs="仿宋"/>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sz w:val="28"/>
          <w:szCs w:val="28"/>
          <w:highlight w:val="none"/>
        </w:rPr>
        <w:t>投标人以上业绩需提供有关书面证明材料。</w:t>
      </w:r>
    </w:p>
    <w:p w14:paraId="4B695DAB">
      <w:pPr>
        <w:spacing w:line="400" w:lineRule="exact"/>
        <w:ind w:firstLine="210" w:firstLineChars="75"/>
        <w:rPr>
          <w:rFonts w:hint="eastAsia" w:ascii="仿宋" w:hAnsi="仿宋" w:eastAsia="仿宋" w:cs="仿宋"/>
          <w:sz w:val="28"/>
          <w:szCs w:val="28"/>
          <w:highlight w:val="none"/>
        </w:rPr>
      </w:pPr>
    </w:p>
    <w:p w14:paraId="243B5385">
      <w:pPr>
        <w:spacing w:line="400" w:lineRule="exact"/>
        <w:ind w:firstLine="210" w:firstLineChars="75"/>
        <w:rPr>
          <w:rFonts w:hint="eastAsia" w:ascii="仿宋" w:hAnsi="仿宋" w:eastAsia="仿宋" w:cs="仿宋"/>
          <w:sz w:val="28"/>
          <w:szCs w:val="28"/>
          <w:highlight w:val="none"/>
        </w:rPr>
      </w:pPr>
    </w:p>
    <w:p w14:paraId="12FFEC76">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投标人名称：         （盖章）</w:t>
      </w:r>
    </w:p>
    <w:p w14:paraId="7F1F27DB">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法定代表人或授权代表（签字）</w:t>
      </w:r>
      <w:r>
        <w:rPr>
          <w:rFonts w:hint="eastAsia" w:ascii="仿宋" w:hAnsi="仿宋" w:eastAsia="仿宋" w:cs="仿宋"/>
          <w:bCs/>
          <w:sz w:val="28"/>
          <w:szCs w:val="28"/>
          <w:highlight w:val="none"/>
        </w:rPr>
        <w:t>：</w:t>
      </w:r>
    </w:p>
    <w:p w14:paraId="2B1CCBA2">
      <w:pPr>
        <w:spacing w:line="500" w:lineRule="exact"/>
        <w:rPr>
          <w:rFonts w:hint="eastAsia" w:asciiTheme="minorEastAsia" w:hAnsiTheme="minorEastAsia" w:eastAsiaTheme="minorEastAsia"/>
          <w:b/>
          <w:sz w:val="28"/>
          <w:szCs w:val="28"/>
          <w:highlight w:val="none"/>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Cs/>
          <w:sz w:val="28"/>
          <w:szCs w:val="28"/>
          <w:highlight w:val="none"/>
        </w:rPr>
        <w:t>投标日期:</w:t>
      </w:r>
    </w:p>
    <w:p w14:paraId="2F40E028">
      <w:pPr>
        <w:rPr>
          <w:rFonts w:hint="eastAsia" w:asciiTheme="minorEastAsia" w:hAnsiTheme="minorEastAsia" w:eastAsiaTheme="minorEastAsia"/>
          <w:sz w:val="18"/>
          <w:szCs w:val="18"/>
          <w:highlight w:val="none"/>
        </w:rPr>
      </w:pPr>
    </w:p>
    <w:p w14:paraId="66E43CF0">
      <w:pPr>
        <w:snapToGrid w:val="0"/>
        <w:spacing w:line="500" w:lineRule="exact"/>
        <w:ind w:firstLine="275" w:firstLineChars="98"/>
        <w:rPr>
          <w:rFonts w:hint="eastAsia" w:ascii="仿宋" w:hAnsi="仿宋" w:eastAsia="仿宋" w:cs="仿宋"/>
          <w:b/>
          <w:sz w:val="28"/>
          <w:szCs w:val="28"/>
          <w:highlight w:val="none"/>
        </w:rPr>
      </w:pPr>
      <w:r>
        <w:rPr>
          <w:rFonts w:hint="eastAsia" w:ascii="仿宋" w:hAnsi="仿宋" w:eastAsia="仿宋" w:cs="仿宋"/>
          <w:b/>
          <w:sz w:val="28"/>
          <w:szCs w:val="28"/>
          <w:highlight w:val="none"/>
        </w:rPr>
        <w:t>八、近三年财务报表</w:t>
      </w:r>
      <w:r>
        <w:rPr>
          <w:rFonts w:ascii="Times New Roman" w:hAnsi="Times New Roman" w:eastAsia="方正仿宋_GBK" w:cs="Times New Roman"/>
          <w:sz w:val="32"/>
          <w:szCs w:val="32"/>
          <w:highlight w:val="none"/>
        </w:rPr>
        <w:t>（包括资产负债表、利润表和现金流量表）</w:t>
      </w:r>
    </w:p>
    <w:p w14:paraId="5D02BE4B">
      <w:pPr>
        <w:widowControl/>
        <w:rPr>
          <w:rFonts w:hint="eastAsia" w:ascii="仿宋" w:hAnsi="仿宋" w:eastAsia="仿宋" w:cs="仿宋"/>
          <w:b/>
          <w:bCs/>
          <w:kern w:val="0"/>
          <w:sz w:val="28"/>
          <w:szCs w:val="28"/>
          <w:highlight w:val="none"/>
        </w:rPr>
      </w:pPr>
    </w:p>
    <w:p w14:paraId="1DE640AD">
      <w:pPr>
        <w:snapToGrid w:val="0"/>
        <w:spacing w:line="520" w:lineRule="exact"/>
        <w:ind w:left="481" w:leftChars="86" w:hanging="275" w:hangingChars="98"/>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 xml:space="preserve">（根据招标要求由投标人自行编写） </w:t>
      </w:r>
    </w:p>
    <w:p w14:paraId="595A4C7E">
      <w:pP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br w:type="page"/>
      </w:r>
    </w:p>
    <w:p w14:paraId="2E2CEFAC">
      <w:pPr>
        <w:snapToGrid w:val="0"/>
        <w:spacing w:line="500" w:lineRule="exact"/>
        <w:ind w:firstLine="275" w:firstLineChars="98"/>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九、近三年的纳税及员工社保缴纳证明</w:t>
      </w:r>
    </w:p>
    <w:p w14:paraId="6EAB7B32">
      <w:pPr>
        <w:snapToGrid w:val="0"/>
        <w:spacing w:line="520" w:lineRule="exact"/>
        <w:rPr>
          <w:rFonts w:hint="eastAsia" w:asciiTheme="minorEastAsia" w:hAnsiTheme="minorEastAsia" w:eastAsiaTheme="minorEastAsia"/>
          <w:sz w:val="18"/>
          <w:szCs w:val="18"/>
          <w:highlight w:val="none"/>
        </w:rPr>
      </w:pPr>
    </w:p>
    <w:p w14:paraId="297A54B3">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ACFF6A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B02812E">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AF5F762">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3EDB606">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FCA297B">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3DB6D98">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E8E3FC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6E772D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5B2A35F">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11A86BE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7AB7CBD">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412230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4CB747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4A71960">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62A471B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F34077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829F34A">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6D184F7">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89A0A68">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8BC851A">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68E0D48">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B6C0DB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6658A004">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28F7DE0">
      <w:pPr>
        <w:snapToGrid w:val="0"/>
        <w:spacing w:line="500" w:lineRule="exact"/>
        <w:ind w:firstLine="275" w:firstLineChars="98"/>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十、近三年官网诚信证明截图证明</w:t>
      </w:r>
    </w:p>
    <w:p w14:paraId="4D4B2DCB">
      <w:pPr>
        <w:snapToGrid w:val="0"/>
        <w:spacing w:line="520" w:lineRule="exact"/>
        <w:ind w:left="382" w:leftChars="86" w:hanging="176" w:hangingChars="98"/>
        <w:rPr>
          <w:rFonts w:hint="eastAsia" w:ascii="仿宋" w:hAnsi="仿宋" w:eastAsia="仿宋" w:cs="仿宋"/>
          <w:b/>
          <w:sz w:val="28"/>
          <w:szCs w:val="28"/>
          <w:highlight w:val="none"/>
        </w:rPr>
      </w:pPr>
      <w:r>
        <w:rPr>
          <w:rFonts w:hint="eastAsia" w:asciiTheme="minorEastAsia" w:hAnsiTheme="minorEastAsia" w:eastAsiaTheme="minorEastAsia"/>
          <w:sz w:val="18"/>
          <w:szCs w:val="18"/>
          <w:highlight w:val="none"/>
        </w:rPr>
        <w:br w:type="page"/>
      </w:r>
      <w:r>
        <w:rPr>
          <w:rFonts w:hint="eastAsia" w:ascii="仿宋" w:hAnsi="仿宋" w:eastAsia="仿宋" w:cs="仿宋"/>
          <w:b/>
          <w:sz w:val="28"/>
          <w:szCs w:val="28"/>
          <w:highlight w:val="none"/>
          <w:lang w:val="en-US" w:eastAsia="zh-CN"/>
        </w:rPr>
        <w:t>十一</w:t>
      </w:r>
      <w:r>
        <w:rPr>
          <w:rFonts w:hint="eastAsia" w:ascii="仿宋" w:hAnsi="仿宋" w:eastAsia="仿宋" w:cs="仿宋"/>
          <w:b/>
          <w:sz w:val="28"/>
          <w:szCs w:val="28"/>
          <w:highlight w:val="none"/>
        </w:rPr>
        <w:t>、承诺函</w:t>
      </w:r>
    </w:p>
    <w:p w14:paraId="5828A9D3">
      <w:pPr>
        <w:spacing w:line="520" w:lineRule="exact"/>
        <w:ind w:firstLine="420" w:firstLineChars="150"/>
        <w:rPr>
          <w:rFonts w:hint="eastAsia" w:ascii="仿宋" w:hAnsi="仿宋" w:eastAsia="仿宋" w:cs="仿宋"/>
          <w:sz w:val="28"/>
          <w:szCs w:val="28"/>
          <w:highlight w:val="none"/>
        </w:rPr>
      </w:pPr>
      <w:r>
        <w:rPr>
          <w:rFonts w:hint="eastAsia" w:ascii="仿宋" w:hAnsi="仿宋" w:eastAsia="仿宋" w:cs="仿宋"/>
          <w:sz w:val="28"/>
          <w:szCs w:val="28"/>
          <w:highlight w:val="none"/>
        </w:rPr>
        <w:t>__________________（采购人）：</w:t>
      </w:r>
    </w:p>
    <w:p w14:paraId="2B07DEC4">
      <w:pPr>
        <w:spacing w:line="520" w:lineRule="exact"/>
        <w:rPr>
          <w:rFonts w:hint="eastAsia" w:ascii="仿宋" w:hAnsi="仿宋" w:eastAsia="仿宋" w:cs="仿宋"/>
          <w:sz w:val="28"/>
          <w:szCs w:val="28"/>
          <w:highlight w:val="none"/>
        </w:rPr>
      </w:pPr>
    </w:p>
    <w:p w14:paraId="67F9DA3F">
      <w:pPr>
        <w:spacing w:line="520" w:lineRule="exact"/>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本公司作为参加本次招标的供应商，郑重承诺具备以下条件：</w:t>
      </w:r>
    </w:p>
    <w:p w14:paraId="093B52AF">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1．投标人具有独立承担民事责任的能力；</w:t>
      </w:r>
    </w:p>
    <w:p w14:paraId="533BE8CC">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2．投标人具有良好的商业信誉和健全的财务会计制度，并提供近三年的财务报表；</w:t>
      </w:r>
    </w:p>
    <w:p w14:paraId="76F1BA15">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3．投标人具有依法缴纳税收和社会保障资金的良好纪录，并提供近三年的纳税及员工社保缴纳证明；</w:t>
      </w:r>
    </w:p>
    <w:p w14:paraId="2827DE1D">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4．投标人具有履行合同所必需的专业技术能力；</w:t>
      </w:r>
    </w:p>
    <w:p w14:paraId="36E1670B">
      <w:pPr>
        <w:spacing w:line="52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投标人参加政府采购活动前三年内，没有骗取中标行为，无不正当理由放弃中标（成交）行为，未进行过恶意投诉，在经营活动中没有违法、违规记录；提供官网查询的诚信记录截图，参考查询网站：国家企业信用信息公示系统、信用中国等网站等；</w:t>
      </w:r>
    </w:p>
    <w:p w14:paraId="6F18CD0D">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6．投标人具有完善的质量保证和售后服务体系； </w:t>
      </w:r>
    </w:p>
    <w:p w14:paraId="09687D28">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7.本项目不接受联合体投标。</w:t>
      </w:r>
    </w:p>
    <w:p w14:paraId="0FC84CD2">
      <w:pPr>
        <w:spacing w:line="520" w:lineRule="exact"/>
        <w:rPr>
          <w:rFonts w:hint="eastAsia" w:ascii="仿宋" w:hAnsi="仿宋" w:eastAsia="仿宋" w:cs="仿宋"/>
          <w:color w:val="auto"/>
          <w:sz w:val="28"/>
          <w:szCs w:val="28"/>
          <w:highlight w:val="none"/>
        </w:rPr>
      </w:pPr>
    </w:p>
    <w:p w14:paraId="58AB4191">
      <w:pPr>
        <w:spacing w:line="520" w:lineRule="exact"/>
        <w:rPr>
          <w:rFonts w:hint="eastAsia" w:ascii="仿宋" w:hAnsi="仿宋" w:eastAsia="仿宋" w:cs="仿宋"/>
          <w:sz w:val="28"/>
          <w:szCs w:val="28"/>
          <w:highlight w:val="none"/>
        </w:rPr>
      </w:pPr>
    </w:p>
    <w:p w14:paraId="3CFF42D3">
      <w:pPr>
        <w:spacing w:line="520" w:lineRule="exact"/>
        <w:rPr>
          <w:rFonts w:hint="eastAsia" w:ascii="仿宋" w:hAnsi="仿宋" w:eastAsia="仿宋" w:cs="仿宋"/>
          <w:sz w:val="28"/>
          <w:szCs w:val="28"/>
          <w:highlight w:val="none"/>
        </w:rPr>
      </w:pPr>
    </w:p>
    <w:p w14:paraId="5F80B204">
      <w:pPr>
        <w:adjustRightInd w:val="0"/>
        <w:spacing w:line="52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（盖章）</w:t>
      </w:r>
    </w:p>
    <w:p w14:paraId="673A2DB3">
      <w:pPr>
        <w:adjustRightInd w:val="0"/>
        <w:spacing w:line="520" w:lineRule="exact"/>
        <w:ind w:firstLine="630" w:firstLineChars="225"/>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3DF81B99">
      <w:pPr>
        <w:adjustRightInd w:val="0"/>
        <w:spacing w:line="520" w:lineRule="exact"/>
        <w:ind w:firstLine="630" w:firstLineChars="225"/>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日期:</w:t>
      </w:r>
    </w:p>
    <w:p w14:paraId="767BA608">
      <w:pPr>
        <w:snapToGrid w:val="0"/>
        <w:spacing w:line="500" w:lineRule="exact"/>
        <w:rPr>
          <w:rFonts w:hint="eastAsia" w:asciiTheme="minorEastAsia" w:hAnsiTheme="minorEastAsia" w:eastAsiaTheme="minorEastAsia"/>
          <w:b/>
          <w:bCs/>
          <w:kern w:val="0"/>
          <w:sz w:val="21"/>
          <w:szCs w:val="21"/>
          <w:highlight w:val="none"/>
        </w:rPr>
        <w:sectPr>
          <w:pgSz w:w="11907" w:h="16840"/>
          <w:pgMar w:top="1440" w:right="1466" w:bottom="1440" w:left="1440" w:header="851" w:footer="992" w:gutter="0"/>
          <w:cols w:space="425" w:num="1"/>
          <w:docGrid w:linePitch="312" w:charSpace="0"/>
        </w:sectPr>
      </w:pPr>
      <w:r>
        <w:rPr>
          <w:rFonts w:hint="eastAsia" w:asciiTheme="minorEastAsia" w:hAnsiTheme="minorEastAsia" w:eastAsiaTheme="minorEastAsia"/>
          <w:highlight w:val="none"/>
        </w:rPr>
        <w:br w:type="page"/>
      </w:r>
    </w:p>
    <w:p w14:paraId="6EF66A91">
      <w:pPr>
        <w:numPr>
          <w:ilvl w:val="0"/>
          <w:numId w:val="12"/>
        </w:numPr>
        <w:adjustRightInd w:val="0"/>
        <w:spacing w:line="480" w:lineRule="auto"/>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投标文件PDF格式的电子档U盘一份</w:t>
      </w:r>
    </w:p>
    <w:p w14:paraId="4B07A3D0">
      <w:pPr>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br w:type="page"/>
      </w:r>
    </w:p>
    <w:p w14:paraId="30C5D128">
      <w:pPr>
        <w:numPr>
          <w:ilvl w:val="0"/>
          <w:numId w:val="12"/>
        </w:numPr>
        <w:adjustRightInd w:val="0"/>
        <w:spacing w:line="480" w:lineRule="auto"/>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招标文件购买费缴纳凭据</w:t>
      </w:r>
    </w:p>
    <w:p w14:paraId="66A03FE8">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FFE70D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D8D5E85">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75A82C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81462EC">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6D2E0A0">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374B4BD">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E68F20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45BF4F7">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6688B94">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634C644D">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620D83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A9B4FAC">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D16FE0B">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6EBEB8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8E4911A">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95D6F40">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08294E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2548E94">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C682516">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2E0F12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5278008">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FF1FC13">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5DAD23E">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776E80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423B4FF">
      <w:pPr>
        <w:tabs>
          <w:tab w:val="left" w:pos="6300"/>
        </w:tabs>
        <w:snapToGrid w:val="0"/>
        <w:spacing w:line="500" w:lineRule="exact"/>
        <w:jc w:val="center"/>
        <w:outlineLvl w:val="0"/>
        <w:rPr>
          <w:rFonts w:cs="方正仿宋_GBK" w:asciiTheme="minorEastAsia" w:hAnsiTheme="minorEastAsia" w:eastAsiaTheme="minorEastAsia"/>
          <w:color w:val="auto"/>
          <w:sz w:val="24"/>
          <w:highlight w:val="none"/>
        </w:rPr>
      </w:pPr>
      <w:r>
        <w:rPr>
          <w:rFonts w:hint="eastAsia" w:cs="方正仿宋_GBK" w:asciiTheme="minorEastAsia" w:hAnsiTheme="minorEastAsia" w:eastAsiaTheme="minorEastAsia"/>
          <w:color w:val="auto"/>
          <w:sz w:val="24"/>
          <w:highlight w:val="none"/>
        </w:rPr>
        <w:t>（结束）</w:t>
      </w:r>
    </w:p>
    <w:p w14:paraId="076780EA">
      <w:pPr>
        <w:rPr>
          <w:rFonts w:cs="方正仿宋_GBK" w:asciiTheme="minorEastAsia" w:hAnsiTheme="minorEastAsia" w:eastAsiaTheme="minorEastAsia"/>
          <w:color w:val="auto"/>
          <w:highlight w:val="none"/>
        </w:rPr>
      </w:pPr>
    </w:p>
    <w:p w14:paraId="7EFCEB69">
      <w:pPr>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sectPr>
      <w:pgSz w:w="11906" w:h="16838"/>
      <w:pgMar w:top="1440" w:right="1841" w:bottom="1440" w:left="1800" w:header="851" w:footer="992" w:gutter="0"/>
      <w:pgNumType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Heiti SC Light">
    <w:altName w:val="微软雅黑"/>
    <w:panose1 w:val="00000000000000000000"/>
    <w:charset w:val="50"/>
    <w:family w:val="auto"/>
    <w:pitch w:val="default"/>
    <w:sig w:usb0="00000000" w:usb1="00000000" w:usb2="00000010" w:usb3="00000000" w:csb0="003E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ヒラギノ角ゴ Pro W3">
    <w:altName w:val="MS Gothic"/>
    <w:panose1 w:val="00000000000000000000"/>
    <w:charset w:val="4E"/>
    <w:family w:val="auto"/>
    <w:pitch w:val="default"/>
    <w:sig w:usb0="00000000" w:usb1="00000000" w:usb2="00000012" w:usb3="00000000" w:csb0="0002000D" w:csb1="00000000"/>
  </w:font>
  <w:font w:name="MS Gothic">
    <w:panose1 w:val="020B0609070205080204"/>
    <w:charset w:val="80"/>
    <w:family w:val="auto"/>
    <w:pitch w:val="default"/>
    <w:sig w:usb0="E00002FF" w:usb1="6AC7FDFB" w:usb2="00000012" w:usb3="00000000" w:csb0="4002009F" w:csb1="DFD7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5701804"/>
    </w:sdtPr>
    <w:sdtContent>
      <w:p w14:paraId="6C82F061">
        <w:pPr>
          <w:pStyle w:val="28"/>
          <w:jc w:val="center"/>
        </w:pPr>
        <w:r>
          <w:fldChar w:fldCharType="begin"/>
        </w:r>
        <w:r>
          <w:instrText xml:space="preserve">PAGE   \* MERGEFORMAT</w:instrText>
        </w:r>
        <w:r>
          <w:fldChar w:fldCharType="separate"/>
        </w:r>
        <w:r>
          <w:rPr>
            <w:lang w:val="zh-CN"/>
          </w:rPr>
          <w:t>25</w:t>
        </w:r>
        <w:r>
          <w:rPr>
            <w:lang w:val="zh-CN"/>
          </w:rPr>
          <w:fldChar w:fldCharType="end"/>
        </w:r>
      </w:p>
    </w:sdtContent>
  </w:sdt>
  <w:p w14:paraId="764CA53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2C03">
    <w:pPr>
      <w:jc w:val="center"/>
      <w:rPr>
        <w:rFonts w:hint="eastAsia" w:ascii="宋体" w:hAnsi="宋体"/>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4FF279"/>
    <w:multiLevelType w:val="singleLevel"/>
    <w:tmpl w:val="C24FF279"/>
    <w:lvl w:ilvl="0" w:tentative="0">
      <w:start w:val="12"/>
      <w:numFmt w:val="chineseCounting"/>
      <w:suff w:val="nothing"/>
      <w:lvlText w:val="%1、"/>
      <w:lvlJc w:val="left"/>
      <w:rPr>
        <w:rFonts w:hint="eastAsia"/>
      </w:rPr>
    </w:lvl>
  </w:abstractNum>
  <w:abstractNum w:abstractNumId="1">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3">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0231844F"/>
    <w:multiLevelType w:val="singleLevel"/>
    <w:tmpl w:val="0231844F"/>
    <w:lvl w:ilvl="0" w:tentative="0">
      <w:start w:val="1"/>
      <w:numFmt w:val="decimal"/>
      <w:lvlText w:val="%1."/>
      <w:lvlJc w:val="left"/>
      <w:pPr>
        <w:tabs>
          <w:tab w:val="left" w:pos="312"/>
        </w:tabs>
      </w:pPr>
    </w:lvl>
  </w:abstractNum>
  <w:abstractNum w:abstractNumId="5">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9">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76DB1815"/>
    <w:multiLevelType w:val="singleLevel"/>
    <w:tmpl w:val="76DB1815"/>
    <w:lvl w:ilvl="0" w:tentative="0">
      <w:start w:val="6"/>
      <w:numFmt w:val="chineseCounting"/>
      <w:suff w:val="nothing"/>
      <w:lvlText w:val="%1、"/>
      <w:lvlJc w:val="left"/>
      <w:rPr>
        <w:rFonts w:hint="eastAsia"/>
      </w:rPr>
    </w:lvl>
  </w:abstractNum>
  <w:abstractNum w:abstractNumId="11">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7"/>
  </w:num>
  <w:num w:numId="5">
    <w:abstractNumId w:val="9"/>
  </w:num>
  <w:num w:numId="6">
    <w:abstractNumId w:val="6"/>
  </w:num>
  <w:num w:numId="7">
    <w:abstractNumId w:val="8"/>
  </w:num>
  <w:num w:numId="8">
    <w:abstractNumId w:val="5"/>
  </w:num>
  <w:num w:numId="9">
    <w:abstractNumId w:val="11"/>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164D"/>
    <w:rsid w:val="000D1E42"/>
    <w:rsid w:val="000D339C"/>
    <w:rsid w:val="000D4AF9"/>
    <w:rsid w:val="000D504F"/>
    <w:rsid w:val="000D5EEB"/>
    <w:rsid w:val="000D7315"/>
    <w:rsid w:val="000D77DB"/>
    <w:rsid w:val="000D7B0B"/>
    <w:rsid w:val="000E0B71"/>
    <w:rsid w:val="000E0E5F"/>
    <w:rsid w:val="000E27CB"/>
    <w:rsid w:val="000E32C8"/>
    <w:rsid w:val="000E3739"/>
    <w:rsid w:val="000E37BC"/>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23AB"/>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756"/>
    <w:rsid w:val="001549C8"/>
    <w:rsid w:val="00155FA6"/>
    <w:rsid w:val="00156F52"/>
    <w:rsid w:val="001578C6"/>
    <w:rsid w:val="00157FB9"/>
    <w:rsid w:val="00164563"/>
    <w:rsid w:val="00165A73"/>
    <w:rsid w:val="0017033D"/>
    <w:rsid w:val="0017061E"/>
    <w:rsid w:val="00170827"/>
    <w:rsid w:val="00170E76"/>
    <w:rsid w:val="001714FB"/>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90A"/>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7F1F"/>
    <w:rsid w:val="00337FFE"/>
    <w:rsid w:val="00340410"/>
    <w:rsid w:val="00340483"/>
    <w:rsid w:val="00340866"/>
    <w:rsid w:val="00340F38"/>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697B"/>
    <w:rsid w:val="004C7915"/>
    <w:rsid w:val="004C7A2B"/>
    <w:rsid w:val="004D03E1"/>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5EC1"/>
    <w:rsid w:val="005D720C"/>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F9B"/>
    <w:rsid w:val="006634D1"/>
    <w:rsid w:val="00663920"/>
    <w:rsid w:val="00664947"/>
    <w:rsid w:val="00664CCF"/>
    <w:rsid w:val="00666230"/>
    <w:rsid w:val="006675AE"/>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6210"/>
    <w:rsid w:val="006C6CDA"/>
    <w:rsid w:val="006D0A15"/>
    <w:rsid w:val="006D1A30"/>
    <w:rsid w:val="006D2D1C"/>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30CD"/>
    <w:rsid w:val="007032D9"/>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3316"/>
    <w:rsid w:val="009646FB"/>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5C2E"/>
    <w:rsid w:val="009977DC"/>
    <w:rsid w:val="00997FAE"/>
    <w:rsid w:val="009A0274"/>
    <w:rsid w:val="009A0F49"/>
    <w:rsid w:val="009A1054"/>
    <w:rsid w:val="009A191A"/>
    <w:rsid w:val="009A1BC0"/>
    <w:rsid w:val="009A1EC5"/>
    <w:rsid w:val="009A298C"/>
    <w:rsid w:val="009A35A0"/>
    <w:rsid w:val="009A3A75"/>
    <w:rsid w:val="009A3C50"/>
    <w:rsid w:val="009A4378"/>
    <w:rsid w:val="009A48D7"/>
    <w:rsid w:val="009A63D8"/>
    <w:rsid w:val="009A64F2"/>
    <w:rsid w:val="009A689D"/>
    <w:rsid w:val="009A6A23"/>
    <w:rsid w:val="009B10CA"/>
    <w:rsid w:val="009B1D61"/>
    <w:rsid w:val="009B1EE6"/>
    <w:rsid w:val="009B1FB9"/>
    <w:rsid w:val="009B237F"/>
    <w:rsid w:val="009B29D5"/>
    <w:rsid w:val="009B3080"/>
    <w:rsid w:val="009B3831"/>
    <w:rsid w:val="009B55B6"/>
    <w:rsid w:val="009B5B28"/>
    <w:rsid w:val="009B5E7E"/>
    <w:rsid w:val="009B6696"/>
    <w:rsid w:val="009B6888"/>
    <w:rsid w:val="009B7BD2"/>
    <w:rsid w:val="009B7F80"/>
    <w:rsid w:val="009C0769"/>
    <w:rsid w:val="009C0CC6"/>
    <w:rsid w:val="009C1173"/>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2A81"/>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C74B1"/>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2977"/>
    <w:rsid w:val="00B32B26"/>
    <w:rsid w:val="00B32EE9"/>
    <w:rsid w:val="00B33CE5"/>
    <w:rsid w:val="00B33F6B"/>
    <w:rsid w:val="00B34D86"/>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4B8"/>
    <w:rsid w:val="00BF5F6D"/>
    <w:rsid w:val="00BF7EB7"/>
    <w:rsid w:val="00C0137D"/>
    <w:rsid w:val="00C015EA"/>
    <w:rsid w:val="00C03EDA"/>
    <w:rsid w:val="00C0485C"/>
    <w:rsid w:val="00C0555C"/>
    <w:rsid w:val="00C05A5A"/>
    <w:rsid w:val="00C05BA2"/>
    <w:rsid w:val="00C06133"/>
    <w:rsid w:val="00C06CCD"/>
    <w:rsid w:val="00C07E05"/>
    <w:rsid w:val="00C12F79"/>
    <w:rsid w:val="00C13017"/>
    <w:rsid w:val="00C1368D"/>
    <w:rsid w:val="00C14744"/>
    <w:rsid w:val="00C17389"/>
    <w:rsid w:val="00C20A7C"/>
    <w:rsid w:val="00C2146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3BE7"/>
    <w:rsid w:val="00C74222"/>
    <w:rsid w:val="00C7434F"/>
    <w:rsid w:val="00C75071"/>
    <w:rsid w:val="00C8228E"/>
    <w:rsid w:val="00C82407"/>
    <w:rsid w:val="00C8400F"/>
    <w:rsid w:val="00C845C0"/>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3BC3"/>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13EC"/>
    <w:rsid w:val="00CE2839"/>
    <w:rsid w:val="00CE2C5E"/>
    <w:rsid w:val="00CE388C"/>
    <w:rsid w:val="00CE3A42"/>
    <w:rsid w:val="00CE67BA"/>
    <w:rsid w:val="00CE6EF0"/>
    <w:rsid w:val="00CF0429"/>
    <w:rsid w:val="00CF11FF"/>
    <w:rsid w:val="00CF15CD"/>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6B0"/>
    <w:rsid w:val="00D35FB0"/>
    <w:rsid w:val="00D37099"/>
    <w:rsid w:val="00D404DF"/>
    <w:rsid w:val="00D438DB"/>
    <w:rsid w:val="00D44309"/>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C01"/>
    <w:rsid w:val="00DC53E0"/>
    <w:rsid w:val="00DC581F"/>
    <w:rsid w:val="00DC6789"/>
    <w:rsid w:val="00DC6AF2"/>
    <w:rsid w:val="00DC6B0D"/>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7E5"/>
    <w:rsid w:val="00DE4A49"/>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C84"/>
    <w:rsid w:val="00FC5C54"/>
    <w:rsid w:val="00FC5D61"/>
    <w:rsid w:val="00FC67D6"/>
    <w:rsid w:val="00FC6DB2"/>
    <w:rsid w:val="00FD07E3"/>
    <w:rsid w:val="00FD1919"/>
    <w:rsid w:val="00FD283C"/>
    <w:rsid w:val="00FD32C2"/>
    <w:rsid w:val="00FD36B6"/>
    <w:rsid w:val="00FD3E6E"/>
    <w:rsid w:val="00FD503F"/>
    <w:rsid w:val="00FD50BC"/>
    <w:rsid w:val="00FE1066"/>
    <w:rsid w:val="00FE1648"/>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4C4089"/>
    <w:rsid w:val="01712C59"/>
    <w:rsid w:val="019224BE"/>
    <w:rsid w:val="02454DC9"/>
    <w:rsid w:val="02910324"/>
    <w:rsid w:val="02C646E1"/>
    <w:rsid w:val="02DB4857"/>
    <w:rsid w:val="03541CED"/>
    <w:rsid w:val="0367592F"/>
    <w:rsid w:val="037D6E4A"/>
    <w:rsid w:val="040D6D19"/>
    <w:rsid w:val="045A67DF"/>
    <w:rsid w:val="045D2E23"/>
    <w:rsid w:val="04612981"/>
    <w:rsid w:val="04617C78"/>
    <w:rsid w:val="0492290C"/>
    <w:rsid w:val="04973A9F"/>
    <w:rsid w:val="049E7F93"/>
    <w:rsid w:val="04EA03AB"/>
    <w:rsid w:val="04F548E2"/>
    <w:rsid w:val="053E6976"/>
    <w:rsid w:val="05FE413F"/>
    <w:rsid w:val="06862B05"/>
    <w:rsid w:val="06BB7499"/>
    <w:rsid w:val="06F16DB8"/>
    <w:rsid w:val="072A4BA6"/>
    <w:rsid w:val="07FE6B2C"/>
    <w:rsid w:val="07FF48C8"/>
    <w:rsid w:val="081D7E86"/>
    <w:rsid w:val="08610CD7"/>
    <w:rsid w:val="088C034D"/>
    <w:rsid w:val="08921C9F"/>
    <w:rsid w:val="08AA0E57"/>
    <w:rsid w:val="08AC078D"/>
    <w:rsid w:val="08B421A7"/>
    <w:rsid w:val="09004AA0"/>
    <w:rsid w:val="09141EC9"/>
    <w:rsid w:val="091B157F"/>
    <w:rsid w:val="091F2D9D"/>
    <w:rsid w:val="092B7785"/>
    <w:rsid w:val="0948190B"/>
    <w:rsid w:val="0962456C"/>
    <w:rsid w:val="0993037E"/>
    <w:rsid w:val="0A6F3E89"/>
    <w:rsid w:val="0A872E9B"/>
    <w:rsid w:val="0AB319EF"/>
    <w:rsid w:val="0AF6127C"/>
    <w:rsid w:val="0B7962BE"/>
    <w:rsid w:val="0C105DFF"/>
    <w:rsid w:val="0C684A5B"/>
    <w:rsid w:val="0CB5287D"/>
    <w:rsid w:val="0CBD4ADC"/>
    <w:rsid w:val="0CCA3020"/>
    <w:rsid w:val="0CD30126"/>
    <w:rsid w:val="0CFC317C"/>
    <w:rsid w:val="0D787385"/>
    <w:rsid w:val="0E6275D1"/>
    <w:rsid w:val="0EB46E08"/>
    <w:rsid w:val="0EC64E38"/>
    <w:rsid w:val="0EE33B88"/>
    <w:rsid w:val="0EEC1973"/>
    <w:rsid w:val="0F264FE7"/>
    <w:rsid w:val="0F3946C8"/>
    <w:rsid w:val="0FAC7325"/>
    <w:rsid w:val="0FEB079C"/>
    <w:rsid w:val="10EF4D6C"/>
    <w:rsid w:val="11367AC0"/>
    <w:rsid w:val="118D1664"/>
    <w:rsid w:val="11A101D6"/>
    <w:rsid w:val="11B06C17"/>
    <w:rsid w:val="11B83C77"/>
    <w:rsid w:val="120D6082"/>
    <w:rsid w:val="122711D7"/>
    <w:rsid w:val="1230330D"/>
    <w:rsid w:val="12AF1D0F"/>
    <w:rsid w:val="12CA37D0"/>
    <w:rsid w:val="139D752A"/>
    <w:rsid w:val="13F526AA"/>
    <w:rsid w:val="142152D6"/>
    <w:rsid w:val="14CB5D17"/>
    <w:rsid w:val="14D33921"/>
    <w:rsid w:val="14DF5063"/>
    <w:rsid w:val="15373CF1"/>
    <w:rsid w:val="156D3BB4"/>
    <w:rsid w:val="15880C4C"/>
    <w:rsid w:val="15AC7766"/>
    <w:rsid w:val="15AE4939"/>
    <w:rsid w:val="164C7F84"/>
    <w:rsid w:val="169B3D10"/>
    <w:rsid w:val="16A101B8"/>
    <w:rsid w:val="16A7036B"/>
    <w:rsid w:val="16AC344E"/>
    <w:rsid w:val="16C07B0A"/>
    <w:rsid w:val="170532D4"/>
    <w:rsid w:val="172604C7"/>
    <w:rsid w:val="1731523F"/>
    <w:rsid w:val="17EA65DF"/>
    <w:rsid w:val="17F07C10"/>
    <w:rsid w:val="18003D99"/>
    <w:rsid w:val="188D7D23"/>
    <w:rsid w:val="19150D5D"/>
    <w:rsid w:val="192D615C"/>
    <w:rsid w:val="19553A9D"/>
    <w:rsid w:val="195F3547"/>
    <w:rsid w:val="19826FA5"/>
    <w:rsid w:val="19877AF0"/>
    <w:rsid w:val="19D40DC3"/>
    <w:rsid w:val="19E71F68"/>
    <w:rsid w:val="1A287223"/>
    <w:rsid w:val="1A6E148E"/>
    <w:rsid w:val="1B393673"/>
    <w:rsid w:val="1BC3591D"/>
    <w:rsid w:val="1C3243D6"/>
    <w:rsid w:val="1C5F6EAA"/>
    <w:rsid w:val="1C6F4FB4"/>
    <w:rsid w:val="1C733AAB"/>
    <w:rsid w:val="1C9069D4"/>
    <w:rsid w:val="1CC45CDD"/>
    <w:rsid w:val="1CCB791D"/>
    <w:rsid w:val="1D1735EF"/>
    <w:rsid w:val="1D4761EB"/>
    <w:rsid w:val="1DEE0CA9"/>
    <w:rsid w:val="1DF20628"/>
    <w:rsid w:val="1E2D620F"/>
    <w:rsid w:val="1EBF50DB"/>
    <w:rsid w:val="1ED4425A"/>
    <w:rsid w:val="1EDC7F1C"/>
    <w:rsid w:val="1F011828"/>
    <w:rsid w:val="1F745F7B"/>
    <w:rsid w:val="1FF74D8F"/>
    <w:rsid w:val="204C132C"/>
    <w:rsid w:val="20590FF2"/>
    <w:rsid w:val="20D64653"/>
    <w:rsid w:val="20EE1616"/>
    <w:rsid w:val="21120767"/>
    <w:rsid w:val="212E2504"/>
    <w:rsid w:val="214B0C07"/>
    <w:rsid w:val="216043C0"/>
    <w:rsid w:val="216A67F7"/>
    <w:rsid w:val="21730FAD"/>
    <w:rsid w:val="219963E6"/>
    <w:rsid w:val="21D302A6"/>
    <w:rsid w:val="21EE0F80"/>
    <w:rsid w:val="220F17A9"/>
    <w:rsid w:val="22BE4F7D"/>
    <w:rsid w:val="231F27E0"/>
    <w:rsid w:val="23CF4666"/>
    <w:rsid w:val="245231DD"/>
    <w:rsid w:val="245C2C9F"/>
    <w:rsid w:val="25315A92"/>
    <w:rsid w:val="25485B4A"/>
    <w:rsid w:val="257411BF"/>
    <w:rsid w:val="25827978"/>
    <w:rsid w:val="25864D84"/>
    <w:rsid w:val="25D668B0"/>
    <w:rsid w:val="260F1BFD"/>
    <w:rsid w:val="26421E20"/>
    <w:rsid w:val="264D746E"/>
    <w:rsid w:val="268B18B9"/>
    <w:rsid w:val="26942845"/>
    <w:rsid w:val="26A5092E"/>
    <w:rsid w:val="26AB55C9"/>
    <w:rsid w:val="26AB5818"/>
    <w:rsid w:val="26D24169"/>
    <w:rsid w:val="271D6C72"/>
    <w:rsid w:val="2776371F"/>
    <w:rsid w:val="2782748C"/>
    <w:rsid w:val="27AB2C9A"/>
    <w:rsid w:val="28603F2A"/>
    <w:rsid w:val="287B7E23"/>
    <w:rsid w:val="28812A39"/>
    <w:rsid w:val="28943942"/>
    <w:rsid w:val="291C5BFE"/>
    <w:rsid w:val="29382A6B"/>
    <w:rsid w:val="2955110C"/>
    <w:rsid w:val="295A23FC"/>
    <w:rsid w:val="29626662"/>
    <w:rsid w:val="2A3113C8"/>
    <w:rsid w:val="2A446C83"/>
    <w:rsid w:val="2A8617FE"/>
    <w:rsid w:val="2AB9225B"/>
    <w:rsid w:val="2AF80BFC"/>
    <w:rsid w:val="2B4464C7"/>
    <w:rsid w:val="2B590203"/>
    <w:rsid w:val="2B6B0F7F"/>
    <w:rsid w:val="2B794137"/>
    <w:rsid w:val="2B9B099A"/>
    <w:rsid w:val="2BD851A9"/>
    <w:rsid w:val="2C130D6C"/>
    <w:rsid w:val="2C225C6C"/>
    <w:rsid w:val="2C7831FE"/>
    <w:rsid w:val="2C8F0EA7"/>
    <w:rsid w:val="2CAD66F4"/>
    <w:rsid w:val="2CF2188B"/>
    <w:rsid w:val="2D5609E8"/>
    <w:rsid w:val="2E0E10F4"/>
    <w:rsid w:val="2E1555FA"/>
    <w:rsid w:val="2E335172"/>
    <w:rsid w:val="2EE15375"/>
    <w:rsid w:val="2EF771DC"/>
    <w:rsid w:val="2F2348EE"/>
    <w:rsid w:val="2F377CAB"/>
    <w:rsid w:val="2F7215C9"/>
    <w:rsid w:val="2F753598"/>
    <w:rsid w:val="2FCC5E07"/>
    <w:rsid w:val="2FF545D5"/>
    <w:rsid w:val="300B7E0F"/>
    <w:rsid w:val="30247B0A"/>
    <w:rsid w:val="3146027D"/>
    <w:rsid w:val="31492649"/>
    <w:rsid w:val="314C5F4C"/>
    <w:rsid w:val="317D7A4B"/>
    <w:rsid w:val="319966F0"/>
    <w:rsid w:val="32863A70"/>
    <w:rsid w:val="328E2276"/>
    <w:rsid w:val="32A8468E"/>
    <w:rsid w:val="333F5C66"/>
    <w:rsid w:val="33825FA4"/>
    <w:rsid w:val="339D1443"/>
    <w:rsid w:val="339F038A"/>
    <w:rsid w:val="33DB773D"/>
    <w:rsid w:val="346A2735"/>
    <w:rsid w:val="34820207"/>
    <w:rsid w:val="349F49A1"/>
    <w:rsid w:val="34AA5361"/>
    <w:rsid w:val="34D7553F"/>
    <w:rsid w:val="34F622B8"/>
    <w:rsid w:val="34FC3E0F"/>
    <w:rsid w:val="3536335A"/>
    <w:rsid w:val="357B6085"/>
    <w:rsid w:val="3600333F"/>
    <w:rsid w:val="36573F98"/>
    <w:rsid w:val="367C2ED7"/>
    <w:rsid w:val="36C53D8A"/>
    <w:rsid w:val="36DC78E2"/>
    <w:rsid w:val="373C7A9C"/>
    <w:rsid w:val="37512FB8"/>
    <w:rsid w:val="376914BD"/>
    <w:rsid w:val="377D7D51"/>
    <w:rsid w:val="37CD35DE"/>
    <w:rsid w:val="38232AA8"/>
    <w:rsid w:val="3860608E"/>
    <w:rsid w:val="389D3187"/>
    <w:rsid w:val="38B91C49"/>
    <w:rsid w:val="39150919"/>
    <w:rsid w:val="39456AB9"/>
    <w:rsid w:val="3984451E"/>
    <w:rsid w:val="39994116"/>
    <w:rsid w:val="39E958BC"/>
    <w:rsid w:val="39F84A46"/>
    <w:rsid w:val="3A366C90"/>
    <w:rsid w:val="3A50783A"/>
    <w:rsid w:val="3AA67D0C"/>
    <w:rsid w:val="3AD2717E"/>
    <w:rsid w:val="3AE8792A"/>
    <w:rsid w:val="3B1A4540"/>
    <w:rsid w:val="3B4C6B7D"/>
    <w:rsid w:val="3C580635"/>
    <w:rsid w:val="3C896EB4"/>
    <w:rsid w:val="3CC50F8A"/>
    <w:rsid w:val="3CF26E83"/>
    <w:rsid w:val="3D440462"/>
    <w:rsid w:val="3D7E3DFD"/>
    <w:rsid w:val="3DDC1B4E"/>
    <w:rsid w:val="3DE624D4"/>
    <w:rsid w:val="3E684EAD"/>
    <w:rsid w:val="3E6E56EE"/>
    <w:rsid w:val="3E831250"/>
    <w:rsid w:val="3E9C53BF"/>
    <w:rsid w:val="3EAE5A4E"/>
    <w:rsid w:val="3EAF2D25"/>
    <w:rsid w:val="3EBD538E"/>
    <w:rsid w:val="3EE102E3"/>
    <w:rsid w:val="3F221C11"/>
    <w:rsid w:val="3F3F3186"/>
    <w:rsid w:val="3F5E49C6"/>
    <w:rsid w:val="3FF57DD8"/>
    <w:rsid w:val="400A4965"/>
    <w:rsid w:val="40291362"/>
    <w:rsid w:val="407D6B38"/>
    <w:rsid w:val="40B35F3C"/>
    <w:rsid w:val="41492569"/>
    <w:rsid w:val="41B06152"/>
    <w:rsid w:val="41CF1774"/>
    <w:rsid w:val="41E166A7"/>
    <w:rsid w:val="424B502D"/>
    <w:rsid w:val="42833F2C"/>
    <w:rsid w:val="42A34959"/>
    <w:rsid w:val="42AB29D0"/>
    <w:rsid w:val="42D515E8"/>
    <w:rsid w:val="42E45B84"/>
    <w:rsid w:val="432568B4"/>
    <w:rsid w:val="43556CD2"/>
    <w:rsid w:val="4372289C"/>
    <w:rsid w:val="43A62D82"/>
    <w:rsid w:val="43C5363E"/>
    <w:rsid w:val="43F0266D"/>
    <w:rsid w:val="43F609F6"/>
    <w:rsid w:val="441B5933"/>
    <w:rsid w:val="44562207"/>
    <w:rsid w:val="448D7B46"/>
    <w:rsid w:val="44903DFD"/>
    <w:rsid w:val="44C63FDA"/>
    <w:rsid w:val="44EF3FD1"/>
    <w:rsid w:val="4534045C"/>
    <w:rsid w:val="45352A25"/>
    <w:rsid w:val="45526791"/>
    <w:rsid w:val="455E66B8"/>
    <w:rsid w:val="458F0387"/>
    <w:rsid w:val="45B21426"/>
    <w:rsid w:val="460F3D97"/>
    <w:rsid w:val="46157C7E"/>
    <w:rsid w:val="461F17AF"/>
    <w:rsid w:val="46707362"/>
    <w:rsid w:val="46E53E93"/>
    <w:rsid w:val="46E6047B"/>
    <w:rsid w:val="47525687"/>
    <w:rsid w:val="47A32C15"/>
    <w:rsid w:val="47D33EDA"/>
    <w:rsid w:val="47F55DE4"/>
    <w:rsid w:val="47FC5A7C"/>
    <w:rsid w:val="48010ED3"/>
    <w:rsid w:val="48514DA6"/>
    <w:rsid w:val="48CA33FC"/>
    <w:rsid w:val="49316623"/>
    <w:rsid w:val="49404775"/>
    <w:rsid w:val="494372C0"/>
    <w:rsid w:val="495532BE"/>
    <w:rsid w:val="49865F45"/>
    <w:rsid w:val="4A091CE5"/>
    <w:rsid w:val="4A713F14"/>
    <w:rsid w:val="4A99106D"/>
    <w:rsid w:val="4AC839B1"/>
    <w:rsid w:val="4BCE2162"/>
    <w:rsid w:val="4BE909E0"/>
    <w:rsid w:val="4BEF1B80"/>
    <w:rsid w:val="4BF7143F"/>
    <w:rsid w:val="4BFF39E8"/>
    <w:rsid w:val="4C290139"/>
    <w:rsid w:val="4C4C1669"/>
    <w:rsid w:val="4C7F6D10"/>
    <w:rsid w:val="4CC2524A"/>
    <w:rsid w:val="4CFE5DCC"/>
    <w:rsid w:val="4D293DEA"/>
    <w:rsid w:val="4DD83BCC"/>
    <w:rsid w:val="4DDD45F1"/>
    <w:rsid w:val="4DDE1EAC"/>
    <w:rsid w:val="4DFF1E22"/>
    <w:rsid w:val="4E5D3917"/>
    <w:rsid w:val="4EE81AFA"/>
    <w:rsid w:val="4F1C3489"/>
    <w:rsid w:val="4F79018E"/>
    <w:rsid w:val="4F9F02E7"/>
    <w:rsid w:val="50195C4C"/>
    <w:rsid w:val="50942CF5"/>
    <w:rsid w:val="50CF6352"/>
    <w:rsid w:val="51326756"/>
    <w:rsid w:val="518976D2"/>
    <w:rsid w:val="522E5111"/>
    <w:rsid w:val="525608BB"/>
    <w:rsid w:val="52935EE2"/>
    <w:rsid w:val="52A674AC"/>
    <w:rsid w:val="52B5636A"/>
    <w:rsid w:val="53072D70"/>
    <w:rsid w:val="53555CA3"/>
    <w:rsid w:val="53594140"/>
    <w:rsid w:val="53F01D34"/>
    <w:rsid w:val="541A3E14"/>
    <w:rsid w:val="546D3EBE"/>
    <w:rsid w:val="547E7F44"/>
    <w:rsid w:val="54955781"/>
    <w:rsid w:val="54A203AA"/>
    <w:rsid w:val="54B61F5D"/>
    <w:rsid w:val="551F5FB4"/>
    <w:rsid w:val="55AA1478"/>
    <w:rsid w:val="55CC2F32"/>
    <w:rsid w:val="55D15107"/>
    <w:rsid w:val="56497D05"/>
    <w:rsid w:val="5651762B"/>
    <w:rsid w:val="570A56DD"/>
    <w:rsid w:val="57730905"/>
    <w:rsid w:val="57783371"/>
    <w:rsid w:val="57C70B78"/>
    <w:rsid w:val="58457272"/>
    <w:rsid w:val="58900246"/>
    <w:rsid w:val="58A14A23"/>
    <w:rsid w:val="58A609DF"/>
    <w:rsid w:val="58CB7923"/>
    <w:rsid w:val="58FF660A"/>
    <w:rsid w:val="599810F5"/>
    <w:rsid w:val="599D70BF"/>
    <w:rsid w:val="59A1101C"/>
    <w:rsid w:val="59AF248B"/>
    <w:rsid w:val="59F111B9"/>
    <w:rsid w:val="5A1455BF"/>
    <w:rsid w:val="5A15432B"/>
    <w:rsid w:val="5A1D1EFC"/>
    <w:rsid w:val="5AD26541"/>
    <w:rsid w:val="5ADA6DD0"/>
    <w:rsid w:val="5AEF067F"/>
    <w:rsid w:val="5B9444F1"/>
    <w:rsid w:val="5BC052E6"/>
    <w:rsid w:val="5BF85296"/>
    <w:rsid w:val="5C024D2D"/>
    <w:rsid w:val="5C2E04A2"/>
    <w:rsid w:val="5C4972A2"/>
    <w:rsid w:val="5CD458C9"/>
    <w:rsid w:val="5CD901EE"/>
    <w:rsid w:val="5CF05F2A"/>
    <w:rsid w:val="5D054DA9"/>
    <w:rsid w:val="5D2D6E3D"/>
    <w:rsid w:val="5D6D5095"/>
    <w:rsid w:val="5DA724B1"/>
    <w:rsid w:val="5E8E4227"/>
    <w:rsid w:val="5F3815F8"/>
    <w:rsid w:val="5FAB005C"/>
    <w:rsid w:val="5FC553F9"/>
    <w:rsid w:val="5FE07B70"/>
    <w:rsid w:val="603879BD"/>
    <w:rsid w:val="606B6E69"/>
    <w:rsid w:val="607034DD"/>
    <w:rsid w:val="60912DAE"/>
    <w:rsid w:val="60944A0B"/>
    <w:rsid w:val="60AC578B"/>
    <w:rsid w:val="60D41974"/>
    <w:rsid w:val="6154366A"/>
    <w:rsid w:val="61702E03"/>
    <w:rsid w:val="617200A8"/>
    <w:rsid w:val="61B85B0B"/>
    <w:rsid w:val="61CD059E"/>
    <w:rsid w:val="61EB0605"/>
    <w:rsid w:val="621435AC"/>
    <w:rsid w:val="627C0528"/>
    <w:rsid w:val="62EE4068"/>
    <w:rsid w:val="6320666B"/>
    <w:rsid w:val="633E7ADE"/>
    <w:rsid w:val="63433366"/>
    <w:rsid w:val="63891D25"/>
    <w:rsid w:val="63A54A3C"/>
    <w:rsid w:val="63A66D11"/>
    <w:rsid w:val="63A92490"/>
    <w:rsid w:val="63AE49E0"/>
    <w:rsid w:val="63AF2BB8"/>
    <w:rsid w:val="63D63827"/>
    <w:rsid w:val="63F10251"/>
    <w:rsid w:val="64057542"/>
    <w:rsid w:val="641674F2"/>
    <w:rsid w:val="643B2761"/>
    <w:rsid w:val="64540922"/>
    <w:rsid w:val="64C43464"/>
    <w:rsid w:val="64CA5FFF"/>
    <w:rsid w:val="65546448"/>
    <w:rsid w:val="65711670"/>
    <w:rsid w:val="65AE7E08"/>
    <w:rsid w:val="65C63372"/>
    <w:rsid w:val="662C60B7"/>
    <w:rsid w:val="66613222"/>
    <w:rsid w:val="668C29E2"/>
    <w:rsid w:val="668F6486"/>
    <w:rsid w:val="670575BF"/>
    <w:rsid w:val="67F23C6D"/>
    <w:rsid w:val="68961266"/>
    <w:rsid w:val="68D61B92"/>
    <w:rsid w:val="68E33569"/>
    <w:rsid w:val="694641F3"/>
    <w:rsid w:val="694F3806"/>
    <w:rsid w:val="696772FB"/>
    <w:rsid w:val="69E4001D"/>
    <w:rsid w:val="6A095614"/>
    <w:rsid w:val="6A2B4C32"/>
    <w:rsid w:val="6AEA3DA1"/>
    <w:rsid w:val="6AF07B7F"/>
    <w:rsid w:val="6B2F1B41"/>
    <w:rsid w:val="6B4E2D3E"/>
    <w:rsid w:val="6BD96A17"/>
    <w:rsid w:val="6C091100"/>
    <w:rsid w:val="6C4B29AA"/>
    <w:rsid w:val="6C530C66"/>
    <w:rsid w:val="6C761953"/>
    <w:rsid w:val="6C8C3392"/>
    <w:rsid w:val="6D0219B2"/>
    <w:rsid w:val="6E550CC4"/>
    <w:rsid w:val="6E943BB5"/>
    <w:rsid w:val="6EA20BE1"/>
    <w:rsid w:val="6EAA2373"/>
    <w:rsid w:val="6EBC13EB"/>
    <w:rsid w:val="6EBE3907"/>
    <w:rsid w:val="6EC71ECE"/>
    <w:rsid w:val="6F076936"/>
    <w:rsid w:val="6F6F4C26"/>
    <w:rsid w:val="6FEF16BE"/>
    <w:rsid w:val="706B00BB"/>
    <w:rsid w:val="70B43760"/>
    <w:rsid w:val="70DE0D35"/>
    <w:rsid w:val="70DF14BB"/>
    <w:rsid w:val="70EB475C"/>
    <w:rsid w:val="70F01005"/>
    <w:rsid w:val="71687CAF"/>
    <w:rsid w:val="71792D3C"/>
    <w:rsid w:val="71AF12E6"/>
    <w:rsid w:val="727A15DA"/>
    <w:rsid w:val="72B01989"/>
    <w:rsid w:val="72CA1615"/>
    <w:rsid w:val="72DA63FB"/>
    <w:rsid w:val="73372296"/>
    <w:rsid w:val="73584999"/>
    <w:rsid w:val="738004A6"/>
    <w:rsid w:val="738A4F1A"/>
    <w:rsid w:val="741C0922"/>
    <w:rsid w:val="7449069D"/>
    <w:rsid w:val="74573835"/>
    <w:rsid w:val="74ED1E27"/>
    <w:rsid w:val="75056005"/>
    <w:rsid w:val="758B5B61"/>
    <w:rsid w:val="75AE44DB"/>
    <w:rsid w:val="75B46B29"/>
    <w:rsid w:val="75E7504D"/>
    <w:rsid w:val="75EF53B2"/>
    <w:rsid w:val="76037EB7"/>
    <w:rsid w:val="760B7E8B"/>
    <w:rsid w:val="76296FA2"/>
    <w:rsid w:val="76B10E65"/>
    <w:rsid w:val="76D01A14"/>
    <w:rsid w:val="76E653E4"/>
    <w:rsid w:val="77730B47"/>
    <w:rsid w:val="77A3153F"/>
    <w:rsid w:val="77B238DE"/>
    <w:rsid w:val="77E17612"/>
    <w:rsid w:val="77F85EB7"/>
    <w:rsid w:val="78367C58"/>
    <w:rsid w:val="786372CE"/>
    <w:rsid w:val="78697573"/>
    <w:rsid w:val="789A1C94"/>
    <w:rsid w:val="78D003F8"/>
    <w:rsid w:val="78D70BA3"/>
    <w:rsid w:val="79522E9F"/>
    <w:rsid w:val="79BF4A66"/>
    <w:rsid w:val="79EA6FF3"/>
    <w:rsid w:val="79FF6F80"/>
    <w:rsid w:val="7A104A82"/>
    <w:rsid w:val="7A350790"/>
    <w:rsid w:val="7A8D2380"/>
    <w:rsid w:val="7AC23E20"/>
    <w:rsid w:val="7AE456E6"/>
    <w:rsid w:val="7C015992"/>
    <w:rsid w:val="7CE451D3"/>
    <w:rsid w:val="7CE92D02"/>
    <w:rsid w:val="7CFB1600"/>
    <w:rsid w:val="7D893333"/>
    <w:rsid w:val="7DB36601"/>
    <w:rsid w:val="7E0278BC"/>
    <w:rsid w:val="7E144D2B"/>
    <w:rsid w:val="7E161B9B"/>
    <w:rsid w:val="7E400A43"/>
    <w:rsid w:val="7E4159BB"/>
    <w:rsid w:val="7E6873EC"/>
    <w:rsid w:val="7ED70E56"/>
    <w:rsid w:val="7F202C72"/>
    <w:rsid w:val="7FA53D28"/>
    <w:rsid w:val="7FAF54D3"/>
    <w:rsid w:val="7FB37EA5"/>
    <w:rsid w:val="7FE60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link w:val="56"/>
    <w:unhideWhenUsed/>
    <w:qFormat/>
    <w:uiPriority w:val="0"/>
    <w:pPr>
      <w:keepNext/>
      <w:keepLines/>
      <w:spacing w:before="240" w:after="64" w:line="320" w:lineRule="auto"/>
      <w:outlineLvl w:val="6"/>
    </w:pPr>
    <w:rPr>
      <w:b/>
      <w:bCs/>
      <w:szCs w:val="24"/>
    </w:rPr>
  </w:style>
  <w:style w:type="paragraph" w:styleId="9">
    <w:name w:val="heading 8"/>
    <w:basedOn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unhideWhenUsed/>
    <w:qFormat/>
    <w:uiPriority w:val="39"/>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next w:val="19"/>
    <w:link w:val="61"/>
    <w:qFormat/>
    <w:uiPriority w:val="0"/>
    <w:pPr>
      <w:spacing w:after="120"/>
    </w:pPr>
    <w:rPr>
      <w:rFonts w:ascii="Times New Roman" w:hAnsi="Times New Roman" w:cs="Times New Roman"/>
      <w:szCs w:val="20"/>
    </w:rPr>
  </w:style>
  <w:style w:type="paragraph" w:styleId="19">
    <w:name w:val="Body Text 2"/>
    <w:basedOn w:val="1"/>
    <w:link w:val="73"/>
    <w:qFormat/>
    <w:uiPriority w:val="0"/>
    <w:pPr>
      <w:spacing w:after="120" w:line="480" w:lineRule="auto"/>
    </w:pPr>
    <w:rPr>
      <w:rFonts w:ascii="Times New Roman" w:hAnsi="Times New Roman" w:cs="Times New Roman"/>
      <w:szCs w:val="20"/>
    </w:rPr>
  </w:style>
  <w:style w:type="paragraph" w:styleId="20">
    <w:name w:val="Body Text Indent"/>
    <w:basedOn w:val="1"/>
    <w:link w:val="65"/>
    <w:qFormat/>
    <w:uiPriority w:val="99"/>
    <w:pPr>
      <w:spacing w:after="120"/>
      <w:ind w:left="420" w:leftChars="200"/>
    </w:pPr>
    <w:rPr>
      <w:rFonts w:ascii="Times New Roman" w:hAnsi="Times New Roman" w:cs="Times New Roman"/>
      <w:szCs w:val="24"/>
    </w:rPr>
  </w:style>
  <w:style w:type="paragraph" w:styleId="21">
    <w:name w:val="toc 5"/>
    <w:basedOn w:val="1"/>
    <w:unhideWhenUsed/>
    <w:qFormat/>
    <w:uiPriority w:val="39"/>
    <w:pPr>
      <w:ind w:left="960"/>
      <w:jc w:val="left"/>
    </w:pPr>
    <w:rPr>
      <w:sz w:val="18"/>
      <w:szCs w:val="18"/>
    </w:rPr>
  </w:style>
  <w:style w:type="paragraph" w:styleId="22">
    <w:name w:val="toc 3"/>
    <w:basedOn w:val="1"/>
    <w:unhideWhenUsed/>
    <w:qFormat/>
    <w:uiPriority w:val="39"/>
    <w:pPr>
      <w:ind w:left="480"/>
      <w:jc w:val="left"/>
    </w:pPr>
    <w:rPr>
      <w:i/>
      <w:sz w:val="22"/>
    </w:rPr>
  </w:style>
  <w:style w:type="paragraph" w:styleId="23">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4">
    <w:name w:val="toc 8"/>
    <w:basedOn w:val="1"/>
    <w:unhideWhenUsed/>
    <w:qFormat/>
    <w:uiPriority w:val="39"/>
    <w:pPr>
      <w:ind w:left="1680"/>
      <w:jc w:val="left"/>
    </w:pPr>
    <w:rPr>
      <w:sz w:val="18"/>
      <w:szCs w:val="18"/>
    </w:rPr>
  </w:style>
  <w:style w:type="paragraph" w:styleId="25">
    <w:name w:val="Date"/>
    <w:basedOn w:val="1"/>
    <w:link w:val="67"/>
    <w:unhideWhenUsed/>
    <w:qFormat/>
    <w:uiPriority w:val="0"/>
    <w:pPr>
      <w:ind w:left="100" w:leftChars="2500"/>
    </w:pPr>
  </w:style>
  <w:style w:type="paragraph" w:styleId="26">
    <w:name w:val="Body Text Indent 2"/>
    <w:basedOn w:val="1"/>
    <w:link w:val="68"/>
    <w:unhideWhenUsed/>
    <w:qFormat/>
    <w:uiPriority w:val="0"/>
    <w:pPr>
      <w:spacing w:after="120" w:line="480" w:lineRule="auto"/>
      <w:ind w:left="420" w:leftChars="200"/>
    </w:pPr>
    <w:rPr>
      <w:rFonts w:ascii="Calibri" w:hAnsi="Calibri"/>
    </w:rPr>
  </w:style>
  <w:style w:type="paragraph" w:styleId="27">
    <w:name w:val="Balloon Text"/>
    <w:basedOn w:val="1"/>
    <w:link w:val="69"/>
    <w:unhideWhenUsed/>
    <w:qFormat/>
    <w:uiPriority w:val="99"/>
    <w:rPr>
      <w:sz w:val="18"/>
      <w:szCs w:val="18"/>
    </w:rPr>
  </w:style>
  <w:style w:type="paragraph" w:styleId="28">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9">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30">
    <w:name w:val="toc 1"/>
    <w:basedOn w:val="1"/>
    <w:unhideWhenUsed/>
    <w:qFormat/>
    <w:uiPriority w:val="39"/>
    <w:pPr>
      <w:spacing w:before="120"/>
      <w:jc w:val="left"/>
    </w:pPr>
    <w:rPr>
      <w:b/>
      <w:caps/>
      <w:sz w:val="22"/>
    </w:rPr>
  </w:style>
  <w:style w:type="paragraph" w:styleId="31">
    <w:name w:val="toc 4"/>
    <w:basedOn w:val="1"/>
    <w:unhideWhenUsed/>
    <w:qFormat/>
    <w:uiPriority w:val="39"/>
    <w:pPr>
      <w:ind w:left="720"/>
      <w:jc w:val="left"/>
    </w:pPr>
    <w:rPr>
      <w:sz w:val="18"/>
      <w:szCs w:val="18"/>
    </w:rPr>
  </w:style>
  <w:style w:type="paragraph" w:styleId="32">
    <w:name w:val="toc 6"/>
    <w:basedOn w:val="1"/>
    <w:unhideWhenUsed/>
    <w:qFormat/>
    <w:uiPriority w:val="39"/>
    <w:pPr>
      <w:ind w:left="1200"/>
      <w:jc w:val="left"/>
    </w:pPr>
    <w:rPr>
      <w:sz w:val="18"/>
      <w:szCs w:val="18"/>
    </w:rPr>
  </w:style>
  <w:style w:type="paragraph" w:styleId="33">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4">
    <w:name w:val="table of figures"/>
    <w:basedOn w:val="1"/>
    <w:qFormat/>
    <w:uiPriority w:val="0"/>
    <w:pPr>
      <w:spacing w:line="360" w:lineRule="auto"/>
      <w:ind w:left="840" w:leftChars="200" w:hanging="420" w:hangingChars="200"/>
    </w:pPr>
    <w:rPr>
      <w:rFonts w:ascii="Times New Roman" w:hAnsi="Times New Roman" w:cs="Times New Roman"/>
      <w:szCs w:val="20"/>
    </w:rPr>
  </w:style>
  <w:style w:type="paragraph" w:styleId="35">
    <w:name w:val="toc 2"/>
    <w:basedOn w:val="1"/>
    <w:unhideWhenUsed/>
    <w:qFormat/>
    <w:uiPriority w:val="39"/>
    <w:pPr>
      <w:ind w:left="240"/>
      <w:jc w:val="left"/>
    </w:pPr>
    <w:rPr>
      <w:sz w:val="22"/>
    </w:rPr>
  </w:style>
  <w:style w:type="paragraph" w:styleId="36">
    <w:name w:val="toc 9"/>
    <w:basedOn w:val="1"/>
    <w:unhideWhenUsed/>
    <w:qFormat/>
    <w:uiPriority w:val="39"/>
    <w:pPr>
      <w:ind w:left="1920"/>
      <w:jc w:val="left"/>
    </w:pPr>
    <w:rPr>
      <w:sz w:val="18"/>
      <w:szCs w:val="18"/>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qFormat/>
    <w:uiPriority w:val="0"/>
    <w:pPr>
      <w:jc w:val="center"/>
    </w:pPr>
    <w:rPr>
      <w:rFonts w:ascii="仿宋_GB2312" w:hAnsi="Times New Roman" w:eastAsia="仿宋_GB2312" w:cs="Times New Roman"/>
      <w:b/>
      <w:bCs/>
      <w:sz w:val="28"/>
      <w:szCs w:val="20"/>
    </w:rPr>
  </w:style>
  <w:style w:type="paragraph" w:styleId="40">
    <w:name w:val="annotation subject"/>
    <w:basedOn w:val="17"/>
    <w:link w:val="60"/>
    <w:unhideWhenUsed/>
    <w:qFormat/>
    <w:uiPriority w:val="99"/>
    <w:rPr>
      <w:b/>
      <w:bCs/>
    </w:rPr>
  </w:style>
  <w:style w:type="paragraph" w:styleId="41">
    <w:name w:val="Body Text First Indent"/>
    <w:basedOn w:val="18"/>
    <w:next w:val="1"/>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color w:val="0000FF" w:themeColor="hyperlink"/>
      <w:u w:val="single"/>
    </w:rPr>
  </w:style>
  <w:style w:type="character" w:styleId="49">
    <w:name w:val="annotation reference"/>
    <w:basedOn w:val="44"/>
    <w:unhideWhenUsed/>
    <w:qFormat/>
    <w:uiPriority w:val="99"/>
    <w:rPr>
      <w:sz w:val="21"/>
      <w:szCs w:val="21"/>
    </w:rPr>
  </w:style>
  <w:style w:type="character" w:customStyle="1" w:styleId="50">
    <w:name w:val="标题 1 字符"/>
    <w:basedOn w:val="44"/>
    <w:link w:val="2"/>
    <w:qFormat/>
    <w:uiPriority w:val="0"/>
    <w:rPr>
      <w:rFonts w:asciiTheme="minorHAnsi" w:hAnsiTheme="minorHAnsi" w:cstheme="minorBidi"/>
      <w:b/>
      <w:bCs/>
      <w:kern w:val="44"/>
      <w:sz w:val="44"/>
      <w:szCs w:val="44"/>
    </w:rPr>
  </w:style>
  <w:style w:type="character" w:customStyle="1" w:styleId="51">
    <w:name w:val="标题 2 字符"/>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字符"/>
    <w:basedOn w:val="44"/>
    <w:link w:val="4"/>
    <w:qFormat/>
    <w:uiPriority w:val="0"/>
    <w:rPr>
      <w:rFonts w:eastAsia="宋体"/>
      <w:b/>
      <w:bCs/>
      <w:kern w:val="2"/>
      <w:sz w:val="32"/>
      <w:szCs w:val="32"/>
    </w:rPr>
  </w:style>
  <w:style w:type="character" w:customStyle="1" w:styleId="53">
    <w:name w:val="标题 4 字符"/>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字符"/>
    <w:basedOn w:val="44"/>
    <w:link w:val="6"/>
    <w:qFormat/>
    <w:uiPriority w:val="9"/>
    <w:rPr>
      <w:rFonts w:eastAsia="宋体"/>
      <w:b/>
      <w:bCs/>
      <w:kern w:val="2"/>
      <w:sz w:val="28"/>
      <w:szCs w:val="28"/>
    </w:rPr>
  </w:style>
  <w:style w:type="character" w:customStyle="1" w:styleId="55">
    <w:name w:val="标题 6 字符"/>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字符"/>
    <w:basedOn w:val="44"/>
    <w:link w:val="8"/>
    <w:qFormat/>
    <w:uiPriority w:val="9"/>
    <w:rPr>
      <w:rFonts w:eastAsia="宋体"/>
      <w:b/>
      <w:bCs/>
      <w:kern w:val="2"/>
      <w:sz w:val="24"/>
      <w:szCs w:val="24"/>
    </w:rPr>
  </w:style>
  <w:style w:type="character" w:customStyle="1" w:styleId="57">
    <w:name w:val="标题 8 字符"/>
    <w:basedOn w:val="44"/>
    <w:link w:val="9"/>
    <w:qFormat/>
    <w:uiPriority w:val="9"/>
    <w:rPr>
      <w:rFonts w:asciiTheme="majorHAnsi" w:hAnsiTheme="majorHAnsi" w:eastAsiaTheme="majorEastAsia" w:cstheme="majorBidi"/>
      <w:kern w:val="2"/>
      <w:sz w:val="24"/>
      <w:szCs w:val="24"/>
    </w:rPr>
  </w:style>
  <w:style w:type="character" w:customStyle="1" w:styleId="58">
    <w:name w:val="标题 9 字符"/>
    <w:basedOn w:val="44"/>
    <w:link w:val="10"/>
    <w:qFormat/>
    <w:uiPriority w:val="0"/>
    <w:rPr>
      <w:rFonts w:asciiTheme="majorHAnsi" w:hAnsiTheme="majorHAnsi" w:eastAsiaTheme="majorEastAsia" w:cstheme="majorBidi"/>
      <w:kern w:val="2"/>
      <w:sz w:val="24"/>
      <w:szCs w:val="21"/>
    </w:rPr>
  </w:style>
  <w:style w:type="character" w:customStyle="1" w:styleId="59">
    <w:name w:val="批注文字 字符"/>
    <w:basedOn w:val="44"/>
    <w:link w:val="17"/>
    <w:qFormat/>
    <w:uiPriority w:val="99"/>
    <w:rPr>
      <w:sz w:val="24"/>
    </w:rPr>
  </w:style>
  <w:style w:type="character" w:customStyle="1" w:styleId="60">
    <w:name w:val="批注主题 字符"/>
    <w:basedOn w:val="59"/>
    <w:link w:val="40"/>
    <w:qFormat/>
    <w:uiPriority w:val="99"/>
    <w:rPr>
      <w:b/>
      <w:bCs/>
      <w:sz w:val="24"/>
    </w:rPr>
  </w:style>
  <w:style w:type="character" w:customStyle="1" w:styleId="61">
    <w:name w:val="正文文本 字符"/>
    <w:basedOn w:val="44"/>
    <w:link w:val="18"/>
    <w:qFormat/>
    <w:uiPriority w:val="99"/>
    <w:rPr>
      <w:rFonts w:ascii="Times New Roman" w:hAnsi="Times New Roman" w:eastAsia="宋体" w:cs="Times New Roman"/>
      <w:szCs w:val="20"/>
    </w:rPr>
  </w:style>
  <w:style w:type="character" w:customStyle="1" w:styleId="62">
    <w:name w:val="正文文本首行缩进 字符"/>
    <w:basedOn w:val="61"/>
    <w:link w:val="41"/>
    <w:semiHidden/>
    <w:qFormat/>
    <w:uiPriority w:val="99"/>
    <w:rPr>
      <w:rFonts w:ascii="Times New Roman" w:hAnsi="Times New Roman" w:eastAsia="宋体" w:cs="Times New Roman"/>
      <w:kern w:val="2"/>
      <w:sz w:val="24"/>
      <w:szCs w:val="22"/>
    </w:rPr>
  </w:style>
  <w:style w:type="character" w:customStyle="1" w:styleId="63">
    <w:name w:val="正文缩进 字符"/>
    <w:link w:val="13"/>
    <w:qFormat/>
    <w:uiPriority w:val="0"/>
    <w:rPr>
      <w:rFonts w:ascii="Times New Roman" w:hAnsi="Times New Roman" w:eastAsia="方正细黑一简体" w:cs="Times New Roman"/>
      <w:szCs w:val="24"/>
      <w:lang w:val="zh-CN" w:eastAsia="zh-CN"/>
    </w:rPr>
  </w:style>
  <w:style w:type="character" w:customStyle="1" w:styleId="64">
    <w:name w:val="文档结构图 字符"/>
    <w:basedOn w:val="44"/>
    <w:link w:val="16"/>
    <w:qFormat/>
    <w:uiPriority w:val="0"/>
    <w:rPr>
      <w:rFonts w:ascii="Heiti SC Light" w:eastAsia="Heiti SC Light"/>
      <w:sz w:val="24"/>
      <w:szCs w:val="24"/>
    </w:rPr>
  </w:style>
  <w:style w:type="character" w:customStyle="1" w:styleId="65">
    <w:name w:val="正文文本缩进 字符"/>
    <w:basedOn w:val="44"/>
    <w:link w:val="20"/>
    <w:qFormat/>
    <w:uiPriority w:val="99"/>
    <w:rPr>
      <w:rFonts w:ascii="Times New Roman" w:hAnsi="Times New Roman" w:eastAsia="宋体" w:cs="Times New Roman"/>
      <w:szCs w:val="24"/>
    </w:rPr>
  </w:style>
  <w:style w:type="character" w:customStyle="1" w:styleId="66">
    <w:name w:val="纯文本 字符"/>
    <w:link w:val="23"/>
    <w:qFormat/>
    <w:uiPriority w:val="0"/>
    <w:rPr>
      <w:rFonts w:ascii="宋体" w:hAnsi="Courier New" w:eastAsia="宋体"/>
      <w:szCs w:val="20"/>
    </w:rPr>
  </w:style>
  <w:style w:type="character" w:customStyle="1" w:styleId="67">
    <w:name w:val="日期 字符"/>
    <w:basedOn w:val="44"/>
    <w:link w:val="25"/>
    <w:qFormat/>
    <w:uiPriority w:val="0"/>
  </w:style>
  <w:style w:type="character" w:customStyle="1" w:styleId="68">
    <w:name w:val="正文文本缩进 2 字符"/>
    <w:link w:val="26"/>
    <w:qFormat/>
    <w:uiPriority w:val="0"/>
    <w:rPr>
      <w:rFonts w:ascii="Calibri" w:hAnsi="Calibri"/>
    </w:rPr>
  </w:style>
  <w:style w:type="character" w:customStyle="1" w:styleId="69">
    <w:name w:val="批注框文本 字符"/>
    <w:basedOn w:val="44"/>
    <w:link w:val="27"/>
    <w:qFormat/>
    <w:uiPriority w:val="99"/>
    <w:rPr>
      <w:sz w:val="18"/>
      <w:szCs w:val="18"/>
    </w:rPr>
  </w:style>
  <w:style w:type="character" w:customStyle="1" w:styleId="70">
    <w:name w:val="页脚 字符"/>
    <w:basedOn w:val="44"/>
    <w:link w:val="28"/>
    <w:qFormat/>
    <w:uiPriority w:val="99"/>
    <w:rPr>
      <w:rFonts w:ascii="Times New Roman" w:hAnsi="Times New Roman" w:eastAsia="宋体" w:cs="Times New Roman"/>
      <w:sz w:val="18"/>
      <w:szCs w:val="20"/>
    </w:rPr>
  </w:style>
  <w:style w:type="character" w:customStyle="1" w:styleId="71">
    <w:name w:val="页眉 字符"/>
    <w:basedOn w:val="44"/>
    <w:link w:val="29"/>
    <w:qFormat/>
    <w:uiPriority w:val="99"/>
    <w:rPr>
      <w:rFonts w:ascii="Times New Roman" w:hAnsi="Times New Roman" w:eastAsia="宋体" w:cs="Times New Roman"/>
      <w:sz w:val="18"/>
      <w:szCs w:val="20"/>
    </w:rPr>
  </w:style>
  <w:style w:type="character" w:customStyle="1" w:styleId="72">
    <w:name w:val="正文文本缩进 3 字符"/>
    <w:basedOn w:val="44"/>
    <w:link w:val="33"/>
    <w:semiHidden/>
    <w:qFormat/>
    <w:uiPriority w:val="99"/>
    <w:rPr>
      <w:sz w:val="16"/>
      <w:szCs w:val="16"/>
    </w:rPr>
  </w:style>
  <w:style w:type="character" w:customStyle="1" w:styleId="73">
    <w:name w:val="正文文本 2 字符"/>
    <w:basedOn w:val="44"/>
    <w:link w:val="19"/>
    <w:qFormat/>
    <w:uiPriority w:val="0"/>
    <w:rPr>
      <w:rFonts w:ascii="Times New Roman" w:hAnsi="Times New Roman" w:eastAsia="宋体" w:cs="Times New Roman"/>
      <w:szCs w:val="20"/>
    </w:rPr>
  </w:style>
  <w:style w:type="character" w:customStyle="1" w:styleId="74">
    <w:name w:val="HTML 预设格式 字符"/>
    <w:basedOn w:val="44"/>
    <w:link w:val="37"/>
    <w:semiHidden/>
    <w:qFormat/>
    <w:uiPriority w:val="99"/>
    <w:rPr>
      <w:rFonts w:ascii="宋体" w:hAnsi="宋体" w:eastAsia="宋体" w:cs="宋体"/>
      <w:kern w:val="0"/>
      <w:sz w:val="24"/>
      <w:szCs w:val="24"/>
    </w:rPr>
  </w:style>
  <w:style w:type="character" w:customStyle="1" w:styleId="75">
    <w:name w:val="普通(网站) 字符"/>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99"/>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link w:val="83"/>
    <w:qFormat/>
    <w:uiPriority w:val="0"/>
    <w:pPr>
      <w:keepNext w:val="0"/>
      <w:keepLines w:val="0"/>
      <w:widowControl/>
      <w:numPr>
        <w:ilvl w:val="0"/>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qFormat/>
    <w:uiPriority w:val="0"/>
    <w:pPr>
      <w:outlineLvl w:val="4"/>
    </w:pPr>
    <w:rPr>
      <w:bCs/>
    </w:rPr>
  </w:style>
  <w:style w:type="paragraph" w:customStyle="1" w:styleId="91">
    <w:name w:val="GW-标题6"/>
    <w:basedOn w:val="90"/>
    <w:qFormat/>
    <w:uiPriority w:val="0"/>
    <w:pPr>
      <w:snapToGrid w:val="0"/>
      <w:outlineLvl w:val="5"/>
    </w:pPr>
    <w:rPr>
      <w:bCs w:val="0"/>
      <w:sz w:val="24"/>
    </w:rPr>
  </w:style>
  <w:style w:type="paragraph" w:customStyle="1" w:styleId="92">
    <w:name w:val="GW-标题7"/>
    <w:basedOn w:val="91"/>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uiPriority w:val="0"/>
    <w:rPr>
      <w:rFonts w:ascii="Calibri" w:hAnsi="Calibri" w:eastAsia="宋体" w:cs="Times New Roman"/>
      <w:kern w:val="0"/>
      <w:sz w:val="22"/>
      <w:szCs w:val="20"/>
    </w:rPr>
  </w:style>
  <w:style w:type="paragraph" w:customStyle="1" w:styleId="110">
    <w:name w:val="GW-标题8"/>
    <w:basedOn w:val="92"/>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qFormat/>
    <w:uiPriority w:val="0"/>
    <w:pPr>
      <w:numPr>
        <w:ilvl w:val="0"/>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qFormat/>
    <w:uiPriority w:val="0"/>
    <w:pPr>
      <w:numPr>
        <w:ilvl w:val="0"/>
        <w:numId w:val="7"/>
      </w:numPr>
      <w:tabs>
        <w:tab w:val="left" w:pos="1861"/>
      </w:tabs>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qFormat/>
    <w:uiPriority w:val="0"/>
    <w:pPr>
      <w:numPr>
        <w:ilvl w:val="0"/>
        <w:numId w:val="7"/>
      </w:numPr>
      <w:tabs>
        <w:tab w:val="left" w:pos="1441"/>
      </w:tabs>
    </w:pPr>
    <w:rPr>
      <w:rFonts w:ascii="Cambria" w:hAnsi="Cambria" w:eastAsia="宋体" w:cs="Times New Roman"/>
      <w:sz w:val="30"/>
    </w:rPr>
  </w:style>
  <w:style w:type="paragraph" w:customStyle="1" w:styleId="175">
    <w:name w:val="段落标题"/>
    <w:basedOn w:val="1"/>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qFormat/>
    <w:uiPriority w:val="0"/>
    <w:pPr>
      <w:numPr>
        <w:ilvl w:val="0"/>
        <w:numId w:val="7"/>
      </w:numPr>
    </w:pPr>
    <w:rPr>
      <w:rFonts w:ascii="Cambria" w:hAnsi="Cambria" w:eastAsia="宋体" w:cs="Times New Roman"/>
      <w:b w:val="0"/>
    </w:rPr>
  </w:style>
  <w:style w:type="paragraph" w:customStyle="1" w:styleId="178">
    <w:name w:val="多级标题5"/>
    <w:basedOn w:val="6"/>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unhideWhenUsed/>
    <w:qFormat/>
    <w:uiPriority w:val="39"/>
    <w:pPr>
      <w:widowControl/>
      <w:numPr>
        <w:ilvl w:val="0"/>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pacing w:val="4"/>
      <w:kern w:val="0"/>
      <w:szCs w:val="24"/>
    </w:rPr>
  </w:style>
  <w:style w:type="paragraph" w:customStyle="1" w:styleId="207">
    <w:name w:val="sbg"/>
    <w:basedOn w:val="1"/>
    <w:qFormat/>
    <w:uiPriority w:val="0"/>
    <w:pPr>
      <w:jc w:val="center"/>
    </w:pPr>
    <w:rPr>
      <w:rFonts w:ascii="宋体" w:hAnsi="宋体" w:cs="宋体"/>
      <w:b/>
      <w:bCs/>
      <w:kern w:val="0"/>
      <w:szCs w:val="18"/>
    </w:rPr>
  </w:style>
  <w:style w:type="character" w:customStyle="1" w:styleId="208">
    <w:name w:val="fontstyle01"/>
    <w:basedOn w:val="44"/>
    <w:qFormat/>
    <w:uiPriority w:val="0"/>
    <w:rPr>
      <w:rFonts w:hint="default" w:ascii="仿宋" w:hAnsi="仿宋"/>
      <w:color w:val="000000"/>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35</Pages>
  <Words>10699</Words>
  <Characters>11608</Characters>
  <Lines>110</Lines>
  <Paragraphs>31</Paragraphs>
  <TotalTime>1</TotalTime>
  <ScaleCrop>false</ScaleCrop>
  <LinksUpToDate>false</LinksUpToDate>
  <CharactersWithSpaces>11813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2018-11-28T12:19:00Z</dcterms:created>
  <dc:creator>微软用户</dc:creator>
  <cp:lastModifiedBy>Smile</cp:lastModifiedBy>
  <cp:lastPrinted>2025-10-20T07:19:00Z</cp:lastPrinted>
  <dcterms:modified xsi:type="dcterms:W3CDTF">2026-04-13T09:22:40Z</dcterms:modified>
  <cp:revision>400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5F78302DD2EB4C5B9758703B822FD7DB</vt:lpwstr>
  </property>
  <property fmtid="{D5CDD505-2E9C-101B-9397-08002B2CF9AE}" pid="4" name="KSOTemplateDocerSaveRecord">
    <vt:lpwstr>eyJoZGlkIjoiOGU3NDc0Mzk1M2NmYmE2ODEzOWIzODU3MDE0YjA1ODgiLCJ1c2VySWQiOiIxMDAzMjQ3NTA2In0=</vt:lpwstr>
  </property>
</Properties>
</file>