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4905445A">
      <w:pPr>
        <w:pStyle w:val="108"/>
        <w:ind w:firstLine="0" w:firstLineChars="0"/>
        <w:jc w:val="center"/>
        <w:rPr>
          <w:rFonts w:ascii="Times New Roman" w:hAnsi="Times New Roman" w:eastAsiaTheme="minorEastAsia"/>
          <w:highlight w:val="none"/>
        </w:rPr>
      </w:pPr>
    </w:p>
    <w:p w14:paraId="5AEC3DA8">
      <w:pPr>
        <w:spacing w:line="900" w:lineRule="exact"/>
        <w:jc w:val="center"/>
        <w:rPr>
          <w:rFonts w:ascii="Times New Roman" w:hAnsi="Times New Roman" w:eastAsia="方正黑体_GBK" w:cs="Times New Roman"/>
          <w:b/>
          <w:sz w:val="44"/>
          <w:szCs w:val="44"/>
          <w:highlight w:val="none"/>
        </w:rPr>
      </w:pPr>
      <w:r>
        <w:rPr>
          <w:rFonts w:ascii="Times New Roman" w:hAnsi="Times New Roman" w:eastAsia="方正黑体_GBK" w:cs="Times New Roman"/>
          <w:b/>
          <w:sz w:val="44"/>
          <w:szCs w:val="44"/>
          <w:highlight w:val="none"/>
        </w:rPr>
        <w:t>重庆财经学院</w:t>
      </w:r>
    </w:p>
    <w:p w14:paraId="0FBD24A7">
      <w:pPr>
        <w:spacing w:line="900" w:lineRule="exact"/>
        <w:jc w:val="center"/>
        <w:rPr>
          <w:rFonts w:ascii="Times New Roman" w:hAnsi="Times New Roman" w:cs="Times New Roman" w:eastAsiaTheme="minorEastAsia"/>
          <w:b/>
          <w:sz w:val="30"/>
          <w:szCs w:val="30"/>
          <w:highlight w:val="none"/>
        </w:rPr>
      </w:pPr>
      <w:r>
        <w:rPr>
          <w:rFonts w:hint="eastAsia" w:ascii="Times New Roman" w:hAnsi="Times New Roman" w:eastAsia="方正黑体_GBK" w:cs="Times New Roman"/>
          <w:b/>
          <w:sz w:val="44"/>
          <w:szCs w:val="44"/>
          <w:highlight w:val="none"/>
          <w:lang w:eastAsia="zh-CN"/>
        </w:rPr>
        <w:t>中央空调采购项目</w:t>
      </w:r>
    </w:p>
    <w:p w14:paraId="6230516F">
      <w:pPr>
        <w:spacing w:line="276" w:lineRule="auto"/>
        <w:jc w:val="distribute"/>
        <w:rPr>
          <w:rFonts w:ascii="Times New Roman" w:hAnsi="Times New Roman" w:eastAsia="方正黑体_GBK" w:cs="Times New Roman"/>
          <w:b/>
          <w:sz w:val="52"/>
          <w:szCs w:val="52"/>
          <w:highlight w:val="none"/>
        </w:rPr>
      </w:pPr>
    </w:p>
    <w:p w14:paraId="1C85A592">
      <w:pPr>
        <w:spacing w:line="276" w:lineRule="auto"/>
        <w:jc w:val="distribute"/>
        <w:rPr>
          <w:rFonts w:ascii="Times New Roman" w:hAnsi="Times New Roman" w:eastAsia="方正黑体_GBK" w:cs="Times New Roman"/>
          <w:b/>
          <w:sz w:val="52"/>
          <w:szCs w:val="52"/>
          <w:highlight w:val="none"/>
        </w:rPr>
      </w:pPr>
    </w:p>
    <w:p w14:paraId="18B9A31E">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招</w:t>
      </w:r>
    </w:p>
    <w:p w14:paraId="32EC6595">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标</w:t>
      </w:r>
    </w:p>
    <w:p w14:paraId="6805D404">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文</w:t>
      </w:r>
    </w:p>
    <w:p w14:paraId="4D31F9C5">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件</w:t>
      </w:r>
    </w:p>
    <w:p w14:paraId="13FAF780">
      <w:pPr>
        <w:spacing w:after="120" w:afterLines="50"/>
        <w:rPr>
          <w:rFonts w:ascii="Times New Roman" w:hAnsi="Times New Roman" w:cs="Times New Roman" w:eastAsiaTheme="minorEastAsia"/>
          <w:b/>
          <w:sz w:val="72"/>
          <w:highlight w:val="none"/>
        </w:rPr>
      </w:pPr>
    </w:p>
    <w:p w14:paraId="09105F5B">
      <w:pPr>
        <w:spacing w:after="120" w:afterLines="50"/>
        <w:rPr>
          <w:rFonts w:ascii="Times New Roman" w:hAnsi="Times New Roman" w:eastAsia="方正黑体_GBK" w:cs="Times New Roman"/>
          <w:b/>
          <w:sz w:val="72"/>
          <w:highlight w:val="none"/>
        </w:rPr>
      </w:pPr>
    </w:p>
    <w:p w14:paraId="7775CB75">
      <w:pPr>
        <w:tabs>
          <w:tab w:val="left" w:pos="5641"/>
        </w:tabs>
        <w:spacing w:after="120" w:afterLines="50" w:line="500" w:lineRule="exact"/>
        <w:ind w:firstLine="1979" w:firstLineChars="618"/>
        <w:rPr>
          <w:rFonts w:ascii="Times New Roman" w:hAnsi="Times New Roman" w:eastAsia="方正黑体_GBK" w:cs="Times New Roman"/>
          <w:b/>
          <w:sz w:val="32"/>
          <w:highlight w:val="none"/>
        </w:rPr>
      </w:pPr>
      <w:r>
        <w:rPr>
          <w:rFonts w:hint="eastAsia" w:ascii="Times New Roman" w:hAnsi="Times New Roman" w:eastAsia="方正黑体_GBK" w:cs="Times New Roman"/>
          <w:b/>
          <w:sz w:val="32"/>
          <w:highlight w:val="none"/>
        </w:rPr>
        <w:tab/>
      </w:r>
    </w:p>
    <w:p w14:paraId="3F55B743">
      <w:pPr>
        <w:spacing w:after="120" w:afterLines="50" w:line="500" w:lineRule="exact"/>
        <w:ind w:firstLine="1979" w:firstLineChars="618"/>
        <w:rPr>
          <w:rFonts w:ascii="Times New Roman" w:hAnsi="Times New Roman" w:eastAsia="方正黑体_GBK" w:cs="Times New Roman"/>
          <w:b/>
          <w:sz w:val="32"/>
          <w:highlight w:val="none"/>
        </w:rPr>
      </w:pPr>
    </w:p>
    <w:p w14:paraId="36369BD6">
      <w:pPr>
        <w:spacing w:after="120" w:afterLines="50" w:line="500" w:lineRule="exact"/>
        <w:ind w:firstLine="1979" w:firstLineChars="618"/>
        <w:rPr>
          <w:rFonts w:ascii="Times New Roman" w:hAnsi="Times New Roman" w:eastAsia="方正黑体_GBK" w:cs="Times New Roman"/>
          <w:b/>
          <w:sz w:val="32"/>
          <w:highlight w:val="none"/>
        </w:rPr>
      </w:pPr>
      <w:r>
        <w:rPr>
          <w:rFonts w:ascii="Times New Roman" w:hAnsi="Times New Roman" w:eastAsia="方正黑体_GBK" w:cs="Times New Roman"/>
          <w:b/>
          <w:sz w:val="32"/>
          <w:highlight w:val="none"/>
        </w:rPr>
        <w:t>招标人：重庆财经学院</w:t>
      </w:r>
    </w:p>
    <w:p w14:paraId="476A2FF6">
      <w:pPr>
        <w:spacing w:after="120" w:afterLines="50" w:line="500" w:lineRule="exact"/>
        <w:ind w:firstLine="1979" w:firstLineChars="618"/>
        <w:rPr>
          <w:rFonts w:ascii="Times New Roman" w:hAnsi="Times New Roman" w:eastAsia="方正黑体_GBK" w:cs="Times New Roman"/>
          <w:b/>
          <w:color w:val="0000FF"/>
          <w:sz w:val="32"/>
          <w:highlight w:val="none"/>
        </w:rPr>
      </w:pPr>
      <w:r>
        <w:rPr>
          <w:rFonts w:ascii="Times New Roman" w:hAnsi="Times New Roman" w:eastAsia="方正黑体_GBK" w:cs="Times New Roman"/>
          <w:b/>
          <w:sz w:val="32"/>
          <w:highlight w:val="none"/>
        </w:rPr>
        <w:t>招标日期：</w:t>
      </w:r>
      <w:r>
        <w:rPr>
          <w:rFonts w:ascii="Times New Roman" w:hAnsi="Times New Roman" w:eastAsia="方正黑体_GBK" w:cs="Times New Roman"/>
          <w:b/>
          <w:color w:val="auto"/>
          <w:sz w:val="32"/>
          <w:highlight w:val="none"/>
        </w:rPr>
        <w:t>202</w:t>
      </w:r>
      <w:r>
        <w:rPr>
          <w:rFonts w:hint="eastAsia" w:ascii="Times New Roman" w:hAnsi="Times New Roman" w:eastAsia="方正黑体_GBK" w:cs="Times New Roman"/>
          <w:b/>
          <w:color w:val="auto"/>
          <w:sz w:val="32"/>
          <w:highlight w:val="none"/>
          <w:lang w:val="en-US" w:eastAsia="zh-CN"/>
        </w:rPr>
        <w:t>6</w:t>
      </w:r>
      <w:r>
        <w:rPr>
          <w:rFonts w:ascii="Times New Roman" w:hAnsi="Times New Roman" w:eastAsia="方正黑体_GBK" w:cs="Times New Roman"/>
          <w:b/>
          <w:color w:val="auto"/>
          <w:sz w:val="32"/>
          <w:highlight w:val="none"/>
        </w:rPr>
        <w:t>年</w:t>
      </w:r>
      <w:r>
        <w:rPr>
          <w:rFonts w:hint="eastAsia" w:ascii="Times New Roman" w:hAnsi="Times New Roman" w:eastAsia="方正黑体_GBK" w:cs="Times New Roman"/>
          <w:b/>
          <w:color w:val="auto"/>
          <w:sz w:val="32"/>
          <w:highlight w:val="none"/>
          <w:lang w:val="en-US" w:eastAsia="zh-CN"/>
        </w:rPr>
        <w:t>5</w:t>
      </w:r>
      <w:r>
        <w:rPr>
          <w:rFonts w:ascii="Times New Roman" w:hAnsi="Times New Roman" w:eastAsia="方正黑体_GBK" w:cs="Times New Roman"/>
          <w:b/>
          <w:color w:val="auto"/>
          <w:sz w:val="32"/>
          <w:highlight w:val="none"/>
        </w:rPr>
        <w:t>月</w:t>
      </w:r>
    </w:p>
    <w:p w14:paraId="6378DAC3">
      <w:pPr>
        <w:pStyle w:val="194"/>
        <w:jc w:val="center"/>
        <w:rPr>
          <w:rFonts w:ascii="Times New Roman" w:hAnsi="Times New Roman" w:eastAsia="宋体" w:cs="Times New Roman"/>
          <w:b w:val="0"/>
          <w:bCs w:val="0"/>
          <w:color w:val="auto"/>
          <w:kern w:val="2"/>
          <w:sz w:val="36"/>
          <w:szCs w:val="36"/>
          <w:highlight w:val="none"/>
          <w:lang w:val="zh-CN"/>
        </w:rPr>
      </w:pPr>
    </w:p>
    <w:sdt>
      <w:sdtPr>
        <w:rPr>
          <w:rFonts w:ascii="Times New Roman" w:hAnsi="Times New Roman" w:eastAsia="宋体" w:cs="Times New Roman"/>
          <w:b w:val="0"/>
          <w:bCs w:val="0"/>
          <w:color w:val="auto"/>
          <w:kern w:val="2"/>
          <w:sz w:val="36"/>
          <w:szCs w:val="36"/>
          <w:highlight w:val="none"/>
          <w:lang w:val="zh-CN"/>
        </w:rPr>
        <w:id w:val="99690147"/>
      </w:sdtPr>
      <w:sdtEndPr>
        <w:rPr>
          <w:rFonts w:ascii="Times New Roman" w:hAnsi="Times New Roman" w:eastAsia="方正黑体_GBK" w:cs="Times New Roman"/>
          <w:b w:val="0"/>
          <w:bCs w:val="0"/>
          <w:color w:val="auto"/>
          <w:kern w:val="2"/>
          <w:sz w:val="24"/>
          <w:szCs w:val="24"/>
          <w:highlight w:val="none"/>
          <w:lang w:val="zh-CN"/>
        </w:rPr>
      </w:sdtEndPr>
      <w:sdtContent>
        <w:sdt>
          <w:sdtPr>
            <w:rPr>
              <w:rFonts w:hint="eastAsia" w:ascii="宋体" w:hAnsi="宋体" w:eastAsia="宋体" w:cs="宋体"/>
              <w:b w:val="0"/>
              <w:bCs w:val="0"/>
              <w:color w:val="auto"/>
              <w:kern w:val="2"/>
              <w:sz w:val="36"/>
              <w:szCs w:val="36"/>
              <w:highlight w:val="none"/>
              <w:lang w:val="zh-CN"/>
            </w:rPr>
            <w:id w:val="147462012"/>
          </w:sdtPr>
          <w:sdtEndPr>
            <w:rPr>
              <w:rFonts w:hint="eastAsia" w:ascii="方正黑体_GBK" w:hAnsi="方正黑体_GBK" w:eastAsia="方正黑体_GBK" w:cs="方正黑体_GBK"/>
              <w:b w:val="0"/>
              <w:bCs w:val="0"/>
              <w:color w:val="auto"/>
              <w:kern w:val="2"/>
              <w:sz w:val="24"/>
              <w:szCs w:val="24"/>
              <w:highlight w:val="none"/>
              <w:lang w:val="zh-CN"/>
            </w:rPr>
          </w:sdtEndPr>
          <w:sdtContent>
            <w:p w14:paraId="53B1515C">
              <w:pPr>
                <w:pStyle w:val="194"/>
                <w:jc w:val="center"/>
                <w:rPr>
                  <w:rFonts w:hint="eastAsia" w:ascii="宋体" w:hAnsi="宋体" w:eastAsia="宋体" w:cs="宋体"/>
                  <w:b w:val="0"/>
                  <w:bCs w:val="0"/>
                  <w:color w:val="auto"/>
                  <w:kern w:val="2"/>
                  <w:sz w:val="36"/>
                  <w:szCs w:val="36"/>
                  <w:highlight w:val="none"/>
                  <w:lang w:val="zh-CN"/>
                </w:rPr>
              </w:pPr>
            </w:p>
            <w:p w14:paraId="2C5E059A">
              <w:pPr>
                <w:rPr>
                  <w:rFonts w:hint="eastAsia" w:ascii="宋体" w:hAnsi="宋体" w:eastAsia="宋体" w:cs="宋体"/>
                  <w:b w:val="0"/>
                  <w:bCs w:val="0"/>
                  <w:color w:val="auto"/>
                  <w:kern w:val="2"/>
                  <w:sz w:val="36"/>
                  <w:szCs w:val="36"/>
                  <w:highlight w:val="none"/>
                  <w:lang w:val="zh-CN"/>
                </w:rPr>
              </w:pPr>
              <w:r>
                <w:rPr>
                  <w:rFonts w:hint="eastAsia" w:ascii="宋体" w:hAnsi="宋体" w:eastAsia="宋体" w:cs="宋体"/>
                  <w:b w:val="0"/>
                  <w:bCs w:val="0"/>
                  <w:color w:val="auto"/>
                  <w:kern w:val="2"/>
                  <w:sz w:val="36"/>
                  <w:szCs w:val="36"/>
                  <w:highlight w:val="none"/>
                  <w:lang w:val="zh-CN"/>
                </w:rPr>
                <w:br w:type="page"/>
              </w:r>
            </w:p>
            <w:p w14:paraId="68253B6A">
              <w:pPr>
                <w:pStyle w:val="194"/>
                <w:jc w:val="cente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目录</w:t>
              </w:r>
            </w:p>
            <w:p w14:paraId="5B638DA1">
              <w:pPr>
                <w:rPr>
                  <w:highlight w:val="none"/>
                  <w:lang w:val="zh-CN"/>
                </w:rPr>
              </w:pPr>
            </w:p>
            <w:p w14:paraId="0D44AFB8">
              <w:pPr>
                <w:rPr>
                  <w:highlight w:val="none"/>
                </w:rPr>
              </w:pPr>
            </w:p>
            <w:p w14:paraId="176A0F3A">
              <w:pPr>
                <w:pStyle w:val="30"/>
                <w:tabs>
                  <w:tab w:val="right" w:leader="dot" w:pos="8255"/>
                </w:tabs>
                <w:rPr>
                  <w:rStyle w:val="48"/>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sz w:val="24"/>
                  <w:szCs w:val="24"/>
                  <w:highlight w:val="none"/>
                </w:rPr>
                <w:fldChar w:fldCharType="begin"/>
              </w:r>
              <w:r>
                <w:rPr>
                  <w:rFonts w:hint="eastAsia" w:ascii="方正黑体_GBK" w:hAnsi="方正黑体_GBK" w:eastAsia="方正黑体_GBK" w:cs="方正黑体_GBK"/>
                  <w:sz w:val="24"/>
                  <w:szCs w:val="24"/>
                  <w:highlight w:val="none"/>
                </w:rPr>
                <w:instrText xml:space="preserve"> TOC \o "1-3" \h \z \u </w:instrText>
              </w:r>
              <w:r>
                <w:rPr>
                  <w:rFonts w:hint="eastAsia" w:ascii="方正黑体_GBK" w:hAnsi="方正黑体_GBK" w:eastAsia="方正黑体_GBK" w:cs="方正黑体_GBK"/>
                  <w:sz w:val="24"/>
                  <w:szCs w:val="24"/>
                  <w:highlight w:val="none"/>
                </w:rPr>
                <w:fldChar w:fldCharType="separate"/>
              </w:r>
              <w:r>
                <w:rPr>
                  <w:highlight w:val="none"/>
                </w:rPr>
                <w:fldChar w:fldCharType="begin"/>
              </w:r>
              <w:r>
                <w:rPr>
                  <w:highlight w:val="none"/>
                </w:rPr>
                <w:instrText xml:space="preserve"> HYPERLINK \l "_Toc531594733" </w:instrText>
              </w:r>
              <w:r>
                <w:rPr>
                  <w:highlight w:val="none"/>
                </w:rPr>
                <w:fldChar w:fldCharType="separate"/>
              </w:r>
              <w:r>
                <w:rPr>
                  <w:rStyle w:val="48"/>
                  <w:rFonts w:hint="eastAsia" w:ascii="方正黑体_GBK" w:hAnsi="方正黑体_GBK" w:eastAsia="方正黑体_GBK" w:cs="方正黑体_GBK"/>
                  <w:color w:val="auto"/>
                  <w:sz w:val="24"/>
                  <w:szCs w:val="24"/>
                  <w:highlight w:val="none"/>
                </w:rPr>
                <w:t>第一章 招标公告</w:t>
              </w:r>
              <w:r>
                <w:rPr>
                  <w:rFonts w:hint="eastAsia" w:ascii="方正黑体_GBK" w:hAnsi="方正黑体_GBK" w:eastAsia="方正黑体_GBK" w:cs="方正黑体_GBK"/>
                  <w:sz w:val="24"/>
                  <w:szCs w:val="24"/>
                  <w:highlight w:val="none"/>
                </w:rPr>
                <w:tab/>
              </w:r>
              <w:r>
                <w:rPr>
                  <w:rFonts w:hint="eastAsia" w:ascii="方正黑体_GBK" w:hAnsi="方正黑体_GBK" w:eastAsia="方正黑体_GBK" w:cs="方正黑体_GBK"/>
                  <w:sz w:val="24"/>
                  <w:szCs w:val="24"/>
                  <w:highlight w:val="none"/>
                </w:rPr>
                <w:fldChar w:fldCharType="end"/>
              </w:r>
              <w:r>
                <w:rPr>
                  <w:rFonts w:hint="eastAsia" w:ascii="方正黑体_GBK" w:hAnsi="方正黑体_GBK" w:eastAsia="方正黑体_GBK" w:cs="方正黑体_GBK"/>
                  <w:sz w:val="24"/>
                  <w:szCs w:val="24"/>
                  <w:highlight w:val="none"/>
                </w:rPr>
                <w:t>3</w:t>
              </w:r>
            </w:p>
            <w:p w14:paraId="31B32078">
              <w:pPr>
                <w:rPr>
                  <w:rFonts w:hint="eastAsia" w:ascii="方正黑体_GBK" w:hAnsi="方正黑体_GBK" w:eastAsia="方正黑体_GBK" w:cs="方正黑体_GBK"/>
                  <w:szCs w:val="24"/>
                  <w:highlight w:val="none"/>
                </w:rPr>
              </w:pPr>
            </w:p>
            <w:p w14:paraId="496599B5">
              <w:pPr>
                <w:rPr>
                  <w:rFonts w:hint="eastAsia" w:ascii="方正黑体_GBK" w:hAnsi="方正黑体_GBK" w:eastAsia="方正黑体_GBK" w:cs="方正黑体_GBK"/>
                  <w:szCs w:val="24"/>
                  <w:highlight w:val="none"/>
                </w:rPr>
              </w:pPr>
            </w:p>
            <w:p w14:paraId="558E92E9">
              <w:pPr>
                <w:rPr>
                  <w:rFonts w:hint="eastAsia" w:ascii="方正黑体_GBK" w:hAnsi="方正黑体_GBK" w:eastAsia="方正黑体_GBK" w:cs="方正黑体_GBK"/>
                  <w:szCs w:val="24"/>
                  <w:highlight w:val="none"/>
                </w:rPr>
              </w:pPr>
            </w:p>
            <w:p w14:paraId="0F8E11F6">
              <w:pPr>
                <w:rPr>
                  <w:rFonts w:hint="eastAsia" w:ascii="方正黑体_GBK" w:hAnsi="方正黑体_GBK" w:eastAsia="方正黑体_GBK" w:cs="方正黑体_GBK"/>
                  <w:szCs w:val="24"/>
                  <w:highlight w:val="none"/>
                </w:rPr>
              </w:pPr>
            </w:p>
            <w:p w14:paraId="31DC8524">
              <w:pPr>
                <w:pStyle w:val="30"/>
                <w:tabs>
                  <w:tab w:val="right" w:leader="dot" w:pos="8255"/>
                </w:tabs>
                <w:rPr>
                  <w:rStyle w:val="48"/>
                  <w:rFonts w:hint="eastAsia" w:ascii="方正黑体_GBK" w:hAnsi="方正黑体_GBK" w:eastAsia="方正黑体_GBK" w:cs="方正黑体_GBK"/>
                  <w:color w:val="auto"/>
                  <w:sz w:val="24"/>
                  <w:szCs w:val="24"/>
                  <w:highlight w:val="none"/>
                </w:rPr>
              </w:pPr>
              <w:r>
                <w:rPr>
                  <w:highlight w:val="none"/>
                </w:rPr>
                <w:fldChar w:fldCharType="begin"/>
              </w:r>
              <w:r>
                <w:rPr>
                  <w:highlight w:val="none"/>
                </w:rPr>
                <w:instrText xml:space="preserve"> HYPERLINK \l "_Toc531594734" </w:instrText>
              </w:r>
              <w:r>
                <w:rPr>
                  <w:highlight w:val="none"/>
                </w:rPr>
                <w:fldChar w:fldCharType="separate"/>
              </w:r>
              <w:r>
                <w:rPr>
                  <w:rStyle w:val="48"/>
                  <w:rFonts w:hint="eastAsia" w:ascii="方正黑体_GBK" w:hAnsi="方正黑体_GBK" w:eastAsia="方正黑体_GBK" w:cs="方正黑体_GBK"/>
                  <w:color w:val="auto"/>
                  <w:sz w:val="24"/>
                  <w:szCs w:val="24"/>
                  <w:highlight w:val="none"/>
                </w:rPr>
                <w:t>第二章 投标人</w:t>
              </w:r>
              <w:r>
                <w:rPr>
                  <w:rStyle w:val="48"/>
                  <w:rFonts w:hint="eastAsia" w:ascii="方正黑体_GBK" w:hAnsi="方正黑体_GBK" w:eastAsia="方正黑体_GBK" w:cs="方正黑体_GBK"/>
                  <w:color w:val="0000FF"/>
                  <w:sz w:val="24"/>
                  <w:szCs w:val="24"/>
                  <w:highlight w:val="none"/>
                  <w:lang w:val="en-US" w:eastAsia="zh-CN"/>
                </w:rPr>
                <w:t>须</w:t>
              </w:r>
              <w:r>
                <w:rPr>
                  <w:rStyle w:val="48"/>
                  <w:rFonts w:hint="eastAsia" w:ascii="方正黑体_GBK" w:hAnsi="方正黑体_GBK" w:eastAsia="方正黑体_GBK" w:cs="方正黑体_GBK"/>
                  <w:color w:val="0000FF"/>
                  <w:sz w:val="24"/>
                  <w:szCs w:val="24"/>
                  <w:highlight w:val="none"/>
                </w:rPr>
                <w:t>知</w:t>
              </w:r>
              <w:r>
                <w:rPr>
                  <w:rFonts w:hint="eastAsia" w:ascii="方正黑体_GBK" w:hAnsi="方正黑体_GBK" w:eastAsia="方正黑体_GBK" w:cs="方正黑体_GBK"/>
                  <w:sz w:val="24"/>
                  <w:szCs w:val="24"/>
                  <w:highlight w:val="none"/>
                </w:rPr>
                <w:tab/>
              </w:r>
              <w:r>
                <w:rPr>
                  <w:rFonts w:hint="eastAsia" w:ascii="方正黑体_GBK" w:hAnsi="方正黑体_GBK" w:eastAsia="方正黑体_GBK" w:cs="方正黑体_GBK"/>
                  <w:sz w:val="24"/>
                  <w:szCs w:val="24"/>
                  <w:highlight w:val="none"/>
                </w:rPr>
                <w:fldChar w:fldCharType="end"/>
              </w:r>
              <w:r>
                <w:rPr>
                  <w:rFonts w:hint="eastAsia" w:ascii="方正黑体_GBK" w:hAnsi="方正黑体_GBK" w:eastAsia="方正黑体_GBK" w:cs="方正黑体_GBK"/>
                  <w:sz w:val="24"/>
                  <w:szCs w:val="24"/>
                  <w:highlight w:val="none"/>
                </w:rPr>
                <w:t>5</w:t>
              </w:r>
            </w:p>
            <w:p w14:paraId="786F00A4">
              <w:pPr>
                <w:rPr>
                  <w:rFonts w:hint="eastAsia" w:ascii="方正黑体_GBK" w:hAnsi="方正黑体_GBK" w:eastAsia="方正黑体_GBK" w:cs="方正黑体_GBK"/>
                  <w:szCs w:val="24"/>
                  <w:highlight w:val="none"/>
                </w:rPr>
              </w:pPr>
            </w:p>
            <w:p w14:paraId="725051AA">
              <w:pPr>
                <w:rPr>
                  <w:rFonts w:hint="eastAsia" w:ascii="方正黑体_GBK" w:hAnsi="方正黑体_GBK" w:eastAsia="方正黑体_GBK" w:cs="方正黑体_GBK"/>
                  <w:szCs w:val="24"/>
                  <w:highlight w:val="none"/>
                </w:rPr>
              </w:pPr>
            </w:p>
            <w:p w14:paraId="587F2510">
              <w:pPr>
                <w:rPr>
                  <w:rFonts w:hint="eastAsia" w:ascii="方正黑体_GBK" w:hAnsi="方正黑体_GBK" w:eastAsia="方正黑体_GBK" w:cs="方正黑体_GBK"/>
                  <w:szCs w:val="24"/>
                  <w:highlight w:val="none"/>
                </w:rPr>
              </w:pPr>
            </w:p>
            <w:p w14:paraId="6A9F94CB">
              <w:pPr>
                <w:rPr>
                  <w:rFonts w:hint="eastAsia" w:ascii="方正黑体_GBK" w:hAnsi="方正黑体_GBK" w:eastAsia="方正黑体_GBK" w:cs="方正黑体_GBK"/>
                  <w:szCs w:val="24"/>
                  <w:highlight w:val="none"/>
                </w:rPr>
              </w:pPr>
            </w:p>
            <w:p w14:paraId="4852AF8A">
              <w:pPr>
                <w:pStyle w:val="30"/>
                <w:tabs>
                  <w:tab w:val="right" w:leader="dot" w:pos="8255"/>
                </w:tabs>
                <w:rPr>
                  <w:rStyle w:val="48"/>
                  <w:rFonts w:hint="eastAsia" w:ascii="方正黑体_GBK" w:hAnsi="方正黑体_GBK" w:eastAsia="方正黑体_GBK" w:cs="方正黑体_GBK"/>
                  <w:sz w:val="24"/>
                  <w:szCs w:val="24"/>
                  <w:highlight w:val="none"/>
                  <w:lang w:val="en-US" w:eastAsia="zh-CN"/>
                </w:rPr>
              </w:pPr>
              <w:r>
                <w:rPr>
                  <w:rFonts w:hint="eastAsia" w:ascii="方正黑体_GBK" w:hAnsi="方正黑体_GBK" w:eastAsia="方正黑体_GBK" w:cs="方正黑体_GBK"/>
                  <w:color w:val="auto"/>
                  <w:sz w:val="24"/>
                  <w:szCs w:val="24"/>
                  <w:highlight w:val="none"/>
                  <w:u w:val="none"/>
                </w:rPr>
                <w:fldChar w:fldCharType="begin"/>
              </w:r>
              <w:r>
                <w:rPr>
                  <w:rFonts w:hint="eastAsia" w:ascii="方正黑体_GBK" w:hAnsi="方正黑体_GBK" w:eastAsia="方正黑体_GBK" w:cs="方正黑体_GBK"/>
                  <w:color w:val="auto"/>
                  <w:sz w:val="24"/>
                  <w:szCs w:val="24"/>
                  <w:highlight w:val="none"/>
                  <w:u w:val="none"/>
                </w:rPr>
                <w:instrText xml:space="preserve"> HYPERLINK \l "_第三章 招标数量及参数要求" </w:instrText>
              </w:r>
              <w:r>
                <w:rPr>
                  <w:rFonts w:hint="eastAsia" w:ascii="方正黑体_GBK" w:hAnsi="方正黑体_GBK" w:eastAsia="方正黑体_GBK" w:cs="方正黑体_GBK"/>
                  <w:color w:val="auto"/>
                  <w:sz w:val="24"/>
                  <w:szCs w:val="24"/>
                  <w:highlight w:val="none"/>
                  <w:u w:val="none"/>
                </w:rPr>
                <w:fldChar w:fldCharType="separate"/>
              </w:r>
              <w:r>
                <w:rPr>
                  <w:rStyle w:val="48"/>
                  <w:rFonts w:hint="eastAsia" w:ascii="方正黑体_GBK" w:hAnsi="方正黑体_GBK" w:eastAsia="方正黑体_GBK" w:cs="方正黑体_GBK"/>
                  <w:sz w:val="24"/>
                  <w:szCs w:val="24"/>
                  <w:highlight w:val="none"/>
                </w:rPr>
                <w:t>第三章 招标数量及参数要求</w:t>
              </w:r>
              <w:r>
                <w:rPr>
                  <w:rStyle w:val="48"/>
                  <w:rFonts w:hint="eastAsia" w:ascii="方正黑体_GBK" w:hAnsi="方正黑体_GBK" w:eastAsia="方正黑体_GBK" w:cs="方正黑体_GBK"/>
                  <w:sz w:val="24"/>
                  <w:szCs w:val="24"/>
                  <w:highlight w:val="none"/>
                </w:rPr>
                <w:tab/>
              </w:r>
              <w:r>
                <w:rPr>
                  <w:rStyle w:val="48"/>
                  <w:rFonts w:hint="eastAsia" w:ascii="方正黑体_GBK" w:hAnsi="方正黑体_GBK" w:eastAsia="方正黑体_GBK" w:cs="方正黑体_GBK"/>
                  <w:sz w:val="24"/>
                  <w:szCs w:val="24"/>
                  <w:highlight w:val="none"/>
                </w:rPr>
                <w:t>2</w:t>
              </w:r>
              <w:r>
                <w:rPr>
                  <w:rStyle w:val="48"/>
                  <w:rFonts w:hint="eastAsia" w:ascii="方正黑体_GBK" w:hAnsi="方正黑体_GBK" w:eastAsia="方正黑体_GBK" w:cs="方正黑体_GBK"/>
                  <w:sz w:val="24"/>
                  <w:szCs w:val="24"/>
                  <w:highlight w:val="none"/>
                  <w:lang w:val="en-US" w:eastAsia="zh-CN"/>
                </w:rPr>
                <w:t>2</w:t>
              </w:r>
            </w:p>
            <w:p w14:paraId="78210F15">
              <w:pPr>
                <w:rPr>
                  <w:rFonts w:hint="eastAsia" w:ascii="方正黑体_GBK" w:hAnsi="方正黑体_GBK" w:eastAsia="方正黑体_GBK" w:cs="方正黑体_GBK"/>
                  <w:szCs w:val="24"/>
                  <w:highlight w:val="none"/>
                </w:rPr>
              </w:pPr>
              <w:r>
                <w:rPr>
                  <w:rFonts w:hint="eastAsia" w:ascii="方正黑体_GBK" w:hAnsi="方正黑体_GBK" w:eastAsia="方正黑体_GBK" w:cs="方正黑体_GBK"/>
                  <w:color w:val="auto"/>
                  <w:sz w:val="24"/>
                  <w:szCs w:val="24"/>
                  <w:highlight w:val="none"/>
                  <w:u w:val="none"/>
                </w:rPr>
                <w:fldChar w:fldCharType="end"/>
              </w:r>
            </w:p>
            <w:p w14:paraId="7214CD98">
              <w:pPr>
                <w:rPr>
                  <w:rFonts w:hint="eastAsia" w:ascii="方正黑体_GBK" w:hAnsi="方正黑体_GBK" w:eastAsia="方正黑体_GBK" w:cs="方正黑体_GBK"/>
                  <w:szCs w:val="24"/>
                  <w:highlight w:val="none"/>
                </w:rPr>
              </w:pPr>
            </w:p>
            <w:p w14:paraId="3E37EC4D">
              <w:pPr>
                <w:rPr>
                  <w:rFonts w:hint="eastAsia" w:ascii="方正黑体_GBK" w:hAnsi="方正黑体_GBK" w:eastAsia="方正黑体_GBK" w:cs="方正黑体_GBK"/>
                  <w:szCs w:val="24"/>
                  <w:highlight w:val="none"/>
                </w:rPr>
              </w:pPr>
            </w:p>
            <w:p w14:paraId="28616A7B">
              <w:pPr>
                <w:rPr>
                  <w:rFonts w:hint="eastAsia" w:ascii="方正黑体_GBK" w:hAnsi="方正黑体_GBK" w:eastAsia="方正黑体_GBK" w:cs="方正黑体_GBK"/>
                  <w:szCs w:val="24"/>
                  <w:highlight w:val="none"/>
                </w:rPr>
              </w:pPr>
            </w:p>
            <w:p w14:paraId="24EE55E0">
              <w:pPr>
                <w:pStyle w:val="30"/>
                <w:tabs>
                  <w:tab w:val="right" w:leader="dot" w:pos="8255"/>
                </w:tabs>
                <w:rPr>
                  <w:rFonts w:hint="eastAsia" w:ascii="方正黑体_GBK" w:hAnsi="方正黑体_GBK" w:eastAsia="方正黑体_GBK" w:cs="方正黑体_GBK"/>
                  <w:szCs w:val="24"/>
                  <w:highlight w:val="none"/>
                </w:rPr>
              </w:pPr>
            </w:p>
            <w:p w14:paraId="49A7F2A1">
              <w:pPr>
                <w:pStyle w:val="30"/>
                <w:tabs>
                  <w:tab w:val="right" w:leader="dot" w:pos="8255"/>
                </w:tabs>
                <w:rPr>
                  <w:rFonts w:hint="eastAsia" w:ascii="方正黑体_GBK" w:hAnsi="方正黑体_GBK" w:eastAsia="方正黑体_GBK" w:cs="方正黑体_GBK"/>
                  <w:sz w:val="24"/>
                  <w:szCs w:val="24"/>
                  <w:highlight w:val="none"/>
                  <w:lang w:val="en-US" w:eastAsia="zh-CN"/>
                </w:rPr>
              </w:pPr>
              <w:r>
                <w:rPr>
                  <w:highlight w:val="none"/>
                </w:rPr>
                <w:fldChar w:fldCharType="begin"/>
              </w:r>
              <w:r>
                <w:rPr>
                  <w:highlight w:val="none"/>
                </w:rPr>
                <w:instrText xml:space="preserve"> HYPERLINK \l "_Toc531594799" </w:instrText>
              </w:r>
              <w:r>
                <w:rPr>
                  <w:highlight w:val="none"/>
                </w:rPr>
                <w:fldChar w:fldCharType="separate"/>
              </w:r>
              <w:r>
                <w:rPr>
                  <w:rStyle w:val="48"/>
                  <w:rFonts w:hint="eastAsia" w:ascii="方正黑体_GBK" w:hAnsi="方正黑体_GBK" w:eastAsia="方正黑体_GBK" w:cs="方正黑体_GBK"/>
                  <w:color w:val="auto"/>
                  <w:sz w:val="24"/>
                  <w:szCs w:val="24"/>
                  <w:highlight w:val="none"/>
                </w:rPr>
                <w:t>第</w:t>
              </w:r>
              <w:r>
                <w:rPr>
                  <w:rStyle w:val="48"/>
                  <w:rFonts w:hint="eastAsia" w:ascii="方正黑体_GBK" w:hAnsi="方正黑体_GBK" w:eastAsia="方正黑体_GBK" w:cs="方正黑体_GBK"/>
                  <w:color w:val="auto"/>
                  <w:sz w:val="24"/>
                  <w:szCs w:val="24"/>
                  <w:highlight w:val="none"/>
                  <w:lang w:eastAsia="zh-CN"/>
                </w:rPr>
                <w:t>四</w:t>
              </w:r>
              <w:r>
                <w:rPr>
                  <w:rStyle w:val="48"/>
                  <w:rFonts w:hint="eastAsia" w:ascii="方正黑体_GBK" w:hAnsi="方正黑体_GBK" w:eastAsia="方正黑体_GBK" w:cs="方正黑体_GBK"/>
                  <w:color w:val="auto"/>
                  <w:sz w:val="24"/>
                  <w:szCs w:val="24"/>
                  <w:highlight w:val="none"/>
                </w:rPr>
                <w:t>章 评标原则</w:t>
              </w:r>
              <w:r>
                <w:rPr>
                  <w:rFonts w:hint="eastAsia" w:ascii="方正黑体_GBK" w:hAnsi="方正黑体_GBK" w:eastAsia="方正黑体_GBK" w:cs="方正黑体_GBK"/>
                  <w:sz w:val="24"/>
                  <w:szCs w:val="24"/>
                  <w:highlight w:val="none"/>
                </w:rPr>
                <w:tab/>
              </w:r>
              <w:r>
                <w:rPr>
                  <w:rFonts w:hint="eastAsia" w:ascii="方正黑体_GBK" w:hAnsi="方正黑体_GBK" w:eastAsia="方正黑体_GBK" w:cs="方正黑体_GBK"/>
                  <w:sz w:val="24"/>
                  <w:szCs w:val="24"/>
                  <w:highlight w:val="none"/>
                </w:rPr>
                <w:fldChar w:fldCharType="end"/>
              </w:r>
              <w:r>
                <w:rPr>
                  <w:rFonts w:hint="eastAsia" w:ascii="方正黑体_GBK" w:hAnsi="方正黑体_GBK" w:eastAsia="方正黑体_GBK" w:cs="方正黑体_GBK"/>
                  <w:sz w:val="24"/>
                  <w:szCs w:val="24"/>
                  <w:highlight w:val="none"/>
                  <w:lang w:val="en-US" w:eastAsia="zh-CN"/>
                </w:rPr>
                <w:t>27</w:t>
              </w:r>
            </w:p>
            <w:p w14:paraId="2E432519">
              <w:pPr>
                <w:pStyle w:val="30"/>
                <w:tabs>
                  <w:tab w:val="right" w:leader="dot" w:pos="8255"/>
                </w:tabs>
                <w:rPr>
                  <w:rFonts w:hint="eastAsia" w:ascii="方正黑体_GBK" w:hAnsi="方正黑体_GBK" w:eastAsia="方正黑体_GBK" w:cs="方正黑体_GBK"/>
                  <w:sz w:val="24"/>
                  <w:szCs w:val="24"/>
                  <w:highlight w:val="none"/>
                  <w:lang w:val="en-US" w:eastAsia="zh-CN"/>
                </w:rPr>
              </w:pPr>
            </w:p>
            <w:p w14:paraId="03F51B85">
              <w:pPr>
                <w:pStyle w:val="30"/>
                <w:tabs>
                  <w:tab w:val="right" w:leader="dot" w:pos="8255"/>
                </w:tabs>
                <w:rPr>
                  <w:rFonts w:hint="eastAsia" w:ascii="方正黑体_GBK" w:hAnsi="方正黑体_GBK" w:eastAsia="方正黑体_GBK" w:cs="方正黑体_GBK"/>
                  <w:sz w:val="24"/>
                  <w:szCs w:val="24"/>
                  <w:highlight w:val="none"/>
                  <w:lang w:val="en-US" w:eastAsia="zh-CN"/>
                </w:rPr>
              </w:pPr>
            </w:p>
            <w:p w14:paraId="353564DD">
              <w:pPr>
                <w:pStyle w:val="30"/>
                <w:tabs>
                  <w:tab w:val="right" w:leader="dot" w:pos="8255"/>
                </w:tabs>
                <w:rPr>
                  <w:rFonts w:hint="eastAsia" w:ascii="方正黑体_GBK" w:hAnsi="方正黑体_GBK" w:eastAsia="方正黑体_GBK" w:cs="方正黑体_GBK"/>
                  <w:sz w:val="24"/>
                  <w:szCs w:val="24"/>
                  <w:highlight w:val="none"/>
                  <w:lang w:val="en-US" w:eastAsia="zh-CN"/>
                </w:rPr>
              </w:pPr>
            </w:p>
            <w:p w14:paraId="4E67BE54">
              <w:pPr>
                <w:pStyle w:val="30"/>
                <w:tabs>
                  <w:tab w:val="right" w:leader="dot" w:pos="8255"/>
                </w:tabs>
                <w:rPr>
                  <w:rFonts w:hint="default" w:ascii="方正黑体_GBK" w:hAnsi="方正黑体_GBK" w:eastAsia="方正黑体_GBK" w:cs="方正黑体_GBK"/>
                  <w:sz w:val="24"/>
                  <w:szCs w:val="24"/>
                  <w:highlight w:val="none"/>
                  <w:lang w:val="en-US" w:eastAsia="zh-CN"/>
                </w:rPr>
              </w:pPr>
            </w:p>
            <w:p w14:paraId="7F3B26A6">
              <w:pPr>
                <w:pStyle w:val="30"/>
                <w:tabs>
                  <w:tab w:val="right" w:leader="dot" w:pos="8255"/>
                </w:tabs>
                <w:outlineLvl w:val="9"/>
                <w:rPr>
                  <w:rStyle w:val="48"/>
                  <w:rFonts w:hint="default"/>
                  <w:lang w:val="en-US" w:eastAsia="zh-CN"/>
                </w:rPr>
              </w:pPr>
              <w:r>
                <w:rPr>
                  <w:rFonts w:hint="eastAsia"/>
                  <w:color w:val="0000FF" w:themeColor="hyperlink"/>
                  <w:u w:val="single"/>
                </w:rPr>
                <w:fldChar w:fldCharType="begin"/>
              </w:r>
              <w:r>
                <w:rPr>
                  <w:rFonts w:hint="eastAsia"/>
                  <w:color w:val="0000FF" w:themeColor="hyperlink"/>
                  <w:u w:val="single"/>
                </w:rPr>
                <w:instrText xml:space="preserve"> HYPERLINK \l "_第五章 投标文件格式" </w:instrText>
              </w:r>
              <w:r>
                <w:rPr>
                  <w:rFonts w:hint="eastAsia"/>
                  <w:color w:val="0000FF" w:themeColor="hyperlink"/>
                  <w:u w:val="single"/>
                </w:rPr>
                <w:fldChar w:fldCharType="separate"/>
              </w:r>
              <w:r>
                <w:rPr>
                  <w:rStyle w:val="48"/>
                  <w:rFonts w:hint="eastAsia" w:ascii="方正黑体_GBK" w:hAnsi="方正黑体_GBK" w:eastAsia="方正黑体_GBK" w:cs="方正黑体_GBK"/>
                  <w:color w:val="auto"/>
                  <w:sz w:val="24"/>
                  <w:szCs w:val="24"/>
                  <w:highlight w:val="none"/>
                </w:rPr>
                <w:t>第</w:t>
              </w:r>
              <w:r>
                <w:rPr>
                  <w:rStyle w:val="48"/>
                  <w:rFonts w:hint="eastAsia" w:ascii="方正黑体_GBK" w:hAnsi="方正黑体_GBK" w:eastAsia="方正黑体_GBK" w:cs="方正黑体_GBK"/>
                  <w:color w:val="auto"/>
                  <w:sz w:val="24"/>
                  <w:szCs w:val="24"/>
                  <w:highlight w:val="none"/>
                  <w:lang w:eastAsia="zh-CN"/>
                </w:rPr>
                <w:t>五</w:t>
              </w:r>
              <w:r>
                <w:rPr>
                  <w:rStyle w:val="48"/>
                  <w:rFonts w:hint="eastAsia" w:ascii="方正黑体_GBK" w:hAnsi="方正黑体_GBK" w:eastAsia="方正黑体_GBK" w:cs="方正黑体_GBK"/>
                  <w:color w:val="auto"/>
                  <w:sz w:val="24"/>
                  <w:szCs w:val="24"/>
                  <w:highlight w:val="none"/>
                </w:rPr>
                <w:t>章 投标文件格式</w:t>
              </w:r>
              <w:r>
                <w:rPr>
                  <w:rStyle w:val="48"/>
                  <w:rFonts w:hint="eastAsia"/>
                </w:rPr>
                <w:tab/>
              </w:r>
              <w:r>
                <w:rPr>
                  <w:rFonts w:hint="eastAsia"/>
                  <w:color w:val="0000FF" w:themeColor="hyperlink"/>
                  <w:u w:val="single"/>
                </w:rPr>
                <w:fldChar w:fldCharType="end"/>
              </w:r>
              <w:r>
                <w:rPr>
                  <w:rFonts w:hint="eastAsia" w:ascii="方正黑体_GBK" w:hAnsi="方正黑体_GBK" w:eastAsia="方正黑体_GBK" w:cs="方正黑体_GBK"/>
                  <w:sz w:val="24"/>
                  <w:szCs w:val="24"/>
                  <w:highlight w:val="none"/>
                  <w:lang w:val="en-US" w:eastAsia="zh-CN"/>
                </w:rPr>
                <w:t>30</w:t>
              </w:r>
            </w:p>
            <w:p w14:paraId="244ABE90">
              <w:pPr>
                <w:rPr>
                  <w:rFonts w:ascii="Times New Roman" w:hAnsi="Times New Roman" w:eastAsia="方正黑体_GBK" w:cs="Times New Roman"/>
                  <w:b/>
                  <w:szCs w:val="24"/>
                  <w:highlight w:val="none"/>
                </w:rPr>
              </w:pPr>
              <w:r>
                <w:rPr>
                  <w:rFonts w:hint="eastAsia" w:ascii="方正黑体_GBK" w:hAnsi="方正黑体_GBK" w:eastAsia="方正黑体_GBK" w:cs="方正黑体_GBK"/>
                  <w:szCs w:val="24"/>
                  <w:highlight w:val="none"/>
                  <w:lang w:val="zh-CN"/>
                </w:rPr>
                <w:fldChar w:fldCharType="end"/>
              </w:r>
            </w:p>
          </w:sdtContent>
        </w:sdt>
      </w:sdtContent>
    </w:sdt>
    <w:p w14:paraId="21FC87AE">
      <w:pPr>
        <w:pStyle w:val="2"/>
        <w:numPr>
          <w:ilvl w:val="0"/>
          <w:numId w:val="0"/>
        </w:numPr>
        <w:spacing w:before="0" w:after="0" w:line="440" w:lineRule="exact"/>
        <w:jc w:val="center"/>
        <w:rPr>
          <w:rFonts w:hint="eastAsia" w:ascii="方正小标宋_GBK" w:hAnsi="方正小标宋_GBK" w:eastAsia="方正小标宋_GBK" w:cs="方正小标宋_GBK"/>
          <w:b w:val="0"/>
          <w:bCs w:val="0"/>
          <w:highlight w:val="none"/>
        </w:rPr>
      </w:pPr>
    </w:p>
    <w:p w14:paraId="21613D6E">
      <w:pPr>
        <w:rPr>
          <w:rFonts w:hint="eastAsia" w:ascii="方正小标宋_GBK" w:hAnsi="方正小标宋_GBK" w:eastAsia="方正小标宋_GBK" w:cs="方正小标宋_GBK"/>
          <w:highlight w:val="none"/>
        </w:rPr>
      </w:pPr>
    </w:p>
    <w:p w14:paraId="51DCD588">
      <w:pPr>
        <w:rPr>
          <w:rFonts w:hint="eastAsia" w:ascii="方正小标宋_GBK" w:hAnsi="方正小标宋_GBK" w:eastAsia="方正小标宋_GBK" w:cs="方正小标宋_GBK"/>
          <w:highlight w:val="none"/>
        </w:rPr>
      </w:pPr>
    </w:p>
    <w:p w14:paraId="579C8BDC">
      <w:pPr>
        <w:rPr>
          <w:rFonts w:hint="eastAsia" w:ascii="方正小标宋_GBK" w:hAnsi="方正小标宋_GBK" w:eastAsia="方正小标宋_GBK" w:cs="方正小标宋_GBK"/>
          <w:highlight w:val="none"/>
        </w:rPr>
      </w:pPr>
    </w:p>
    <w:p w14:paraId="2E5691C4">
      <w:pPr>
        <w:rPr>
          <w:rFonts w:hint="eastAsia" w:ascii="方正小标宋_GBK" w:hAnsi="方正小标宋_GBK" w:eastAsia="方正小标宋_GBK" w:cs="方正小标宋_GBK"/>
          <w:highlight w:val="none"/>
        </w:rPr>
      </w:pPr>
    </w:p>
    <w:p w14:paraId="65C3E3BD">
      <w:pPr>
        <w:rPr>
          <w:rFonts w:hint="eastAsia" w:ascii="方正小标宋_GBK" w:hAnsi="方正小标宋_GBK" w:eastAsia="方正小标宋_GBK" w:cs="方正小标宋_GBK"/>
          <w:highlight w:val="none"/>
        </w:rPr>
      </w:pPr>
    </w:p>
    <w:p w14:paraId="3FBC6137">
      <w:pPr>
        <w:rPr>
          <w:rFonts w:hint="eastAsia" w:ascii="方正小标宋_GBK" w:hAnsi="方正小标宋_GBK" w:eastAsia="方正小标宋_GBK" w:cs="方正小标宋_GBK"/>
          <w:highlight w:val="none"/>
        </w:rPr>
      </w:pPr>
    </w:p>
    <w:p w14:paraId="3B6A889C">
      <w:pPr>
        <w:rPr>
          <w:rFonts w:hint="eastAsia" w:ascii="方正小标宋_GBK" w:hAnsi="方正小标宋_GBK" w:eastAsia="方正小标宋_GBK" w:cs="方正小标宋_GBK"/>
          <w:b w:val="0"/>
          <w:bCs w:val="0"/>
          <w:highlight w:val="none"/>
        </w:rPr>
      </w:pPr>
      <w:r>
        <w:rPr>
          <w:rFonts w:hint="eastAsia" w:ascii="方正小标宋_GBK" w:hAnsi="方正小标宋_GBK" w:eastAsia="方正小标宋_GBK" w:cs="方正小标宋_GBK"/>
          <w:b w:val="0"/>
          <w:bCs w:val="0"/>
          <w:highlight w:val="none"/>
        </w:rPr>
        <w:br w:type="page"/>
      </w:r>
    </w:p>
    <w:p w14:paraId="0B3CE5A9">
      <w:pPr>
        <w:pStyle w:val="2"/>
        <w:numPr>
          <w:ilvl w:val="0"/>
          <w:numId w:val="0"/>
        </w:numPr>
        <w:spacing w:before="0" w:after="0" w:line="440" w:lineRule="exact"/>
        <w:jc w:val="center"/>
        <w:rPr>
          <w:rFonts w:hint="eastAsia" w:ascii="方正小标宋_GBK" w:hAnsi="方正小标宋_GBK" w:eastAsia="方正小标宋_GBK" w:cs="方正小标宋_GBK"/>
          <w:b w:val="0"/>
          <w:bCs w:val="0"/>
          <w:highlight w:val="none"/>
        </w:rPr>
      </w:pPr>
      <w:r>
        <w:rPr>
          <w:rFonts w:hint="eastAsia" w:ascii="方正小标宋_GBK" w:hAnsi="方正小标宋_GBK" w:eastAsia="方正小标宋_GBK" w:cs="方正小标宋_GBK"/>
          <w:b w:val="0"/>
          <w:bCs w:val="0"/>
          <w:highlight w:val="none"/>
        </w:rPr>
        <w:t>第一章 招标公告</w:t>
      </w:r>
    </w:p>
    <w:p w14:paraId="2B9AC5C2">
      <w:pPr>
        <w:spacing w:line="440" w:lineRule="exact"/>
        <w:ind w:firstLine="480" w:firstLineChars="200"/>
        <w:rPr>
          <w:highlight w:val="none"/>
        </w:rPr>
      </w:pPr>
    </w:p>
    <w:p w14:paraId="3653C240">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left"/>
        <w:textAlignment w:val="auto"/>
        <w:rPr>
          <w:rFonts w:ascii="Times New Roman" w:hAnsi="Times New Roman" w:eastAsia="方正仿宋_GBK" w:cs="Times New Roman"/>
          <w:sz w:val="32"/>
          <w:szCs w:val="32"/>
          <w:highlight w:val="none"/>
          <w:u w:val="single"/>
        </w:rPr>
      </w:pPr>
      <w:r>
        <w:rPr>
          <w:rFonts w:ascii="Times New Roman" w:hAnsi="Times New Roman" w:eastAsia="方正仿宋_GBK" w:cs="Times New Roman"/>
          <w:sz w:val="32"/>
          <w:szCs w:val="32"/>
          <w:highlight w:val="none"/>
          <w:u w:val="single"/>
        </w:rPr>
        <w:t>重庆财经学院</w:t>
      </w:r>
      <w:r>
        <w:rPr>
          <w:rFonts w:ascii="Times New Roman" w:hAnsi="Times New Roman" w:eastAsia="方正仿宋_GBK" w:cs="Times New Roman"/>
          <w:sz w:val="32"/>
          <w:szCs w:val="32"/>
          <w:highlight w:val="none"/>
        </w:rPr>
        <w:t>（采购人）拟对“</w:t>
      </w:r>
      <w:r>
        <w:rPr>
          <w:rFonts w:hint="eastAsia" w:ascii="Times New Roman" w:hAnsi="Times New Roman" w:eastAsia="方正仿宋_GBK" w:cs="Times New Roman"/>
          <w:sz w:val="32"/>
          <w:szCs w:val="32"/>
          <w:highlight w:val="none"/>
          <w:u w:val="single"/>
        </w:rPr>
        <w:t>重庆财经学院</w:t>
      </w:r>
      <w:r>
        <w:rPr>
          <w:rFonts w:hint="eastAsia" w:ascii="Times New Roman" w:hAnsi="Times New Roman" w:eastAsia="方正仿宋_GBK" w:cs="Times New Roman"/>
          <w:sz w:val="32"/>
          <w:szCs w:val="32"/>
          <w:highlight w:val="none"/>
          <w:u w:val="single"/>
          <w:lang w:eastAsia="zh-CN"/>
        </w:rPr>
        <w:t>中央空调采购项目</w:t>
      </w:r>
      <w:r>
        <w:rPr>
          <w:rFonts w:ascii="Times New Roman" w:hAnsi="Times New Roman" w:eastAsia="方正仿宋_GBK" w:cs="Times New Roman"/>
          <w:sz w:val="32"/>
          <w:szCs w:val="32"/>
          <w:highlight w:val="none"/>
        </w:rPr>
        <w:t>”进行国内</w:t>
      </w:r>
      <w:r>
        <w:rPr>
          <w:rFonts w:hint="eastAsia" w:ascii="Times New Roman" w:hAnsi="Times New Roman" w:eastAsia="方正仿宋_GBK" w:cs="Times New Roman"/>
          <w:sz w:val="32"/>
          <w:szCs w:val="32"/>
          <w:highlight w:val="none"/>
          <w:lang w:eastAsia="zh-CN"/>
        </w:rPr>
        <w:t>挂网招标</w:t>
      </w:r>
      <w:r>
        <w:rPr>
          <w:rFonts w:ascii="Times New Roman" w:hAnsi="Times New Roman" w:eastAsia="方正仿宋_GBK" w:cs="Times New Roman"/>
          <w:sz w:val="32"/>
          <w:szCs w:val="32"/>
          <w:highlight w:val="none"/>
        </w:rPr>
        <w:t>，兹邀请符合本次招标要求的供应商参加投标。</w:t>
      </w:r>
    </w:p>
    <w:p w14:paraId="6A27FF7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方正楷体_GBK" w:hAnsi="方正楷体_GBK" w:eastAsia="方正楷体_GBK" w:cs="方正楷体_GBK"/>
          <w:b/>
          <w:bCs/>
          <w:sz w:val="32"/>
          <w:szCs w:val="32"/>
          <w:highlight w:val="none"/>
        </w:rPr>
        <w:t>一、招标项目</w:t>
      </w:r>
      <w:r>
        <w:rPr>
          <w:rFonts w:hint="eastAsia" w:ascii="方正楷体_GBK" w:hAnsi="方正楷体_GBK" w:eastAsia="方正楷体_GBK" w:cs="方正楷体_GBK"/>
          <w:b/>
          <w:bCs/>
          <w:sz w:val="32"/>
          <w:szCs w:val="32"/>
          <w:highlight w:val="none"/>
          <w:lang w:val="en-US" w:eastAsia="zh-CN"/>
        </w:rPr>
        <w:t>内容</w:t>
      </w:r>
      <w:r>
        <w:rPr>
          <w:rFonts w:hint="eastAsia" w:ascii="方正楷体_GBK" w:hAnsi="方正楷体_GBK" w:eastAsia="方正楷体_GBK" w:cs="方正楷体_GBK"/>
          <w:b/>
          <w:bCs/>
          <w:sz w:val="32"/>
          <w:szCs w:val="32"/>
          <w:highlight w:val="none"/>
        </w:rPr>
        <w:t>：</w:t>
      </w:r>
      <w:r>
        <w:rPr>
          <w:rFonts w:ascii="Times New Roman" w:hAnsi="Times New Roman" w:eastAsia="方正仿宋_GBK" w:cs="Times New Roman"/>
          <w:sz w:val="32"/>
          <w:szCs w:val="32"/>
          <w:highlight w:val="none"/>
        </w:rPr>
        <w:t>（详见招标文件第三章 招标数量及参数要求）。</w:t>
      </w:r>
    </w:p>
    <w:p w14:paraId="6A144BB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sz w:val="32"/>
          <w:szCs w:val="32"/>
          <w:highlight w:val="none"/>
          <w:lang w:val="en-US" w:eastAsia="zh-CN"/>
        </w:rPr>
        <w:t>项目内容的简介：重庆财经学院产业园</w:t>
      </w:r>
      <w:r>
        <w:rPr>
          <w:rFonts w:hint="eastAsia" w:ascii="Times New Roman" w:hAnsi="Times New Roman" w:eastAsia="方正仿宋_GBK" w:cs="Times New Roman"/>
          <w:color w:val="auto"/>
          <w:sz w:val="32"/>
          <w:szCs w:val="32"/>
          <w:highlight w:val="none"/>
          <w:lang w:val="en-US" w:eastAsia="zh-CN"/>
        </w:rPr>
        <w:t>3、4、5幢部分单元楼层空调采购项目。</w:t>
      </w:r>
    </w:p>
    <w:p w14:paraId="22ADEBD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b/>
          <w:bCs/>
          <w:sz w:val="32"/>
          <w:szCs w:val="32"/>
          <w:highlight w:val="none"/>
          <w:lang w:val="en-US" w:eastAsia="zh-CN"/>
        </w:rPr>
        <w:t>二、资金来源</w:t>
      </w:r>
      <w:r>
        <w:rPr>
          <w:rFonts w:hint="eastAsia" w:ascii="Times New Roman" w:hAnsi="Times New Roman" w:eastAsia="方正仿宋_GBK" w:cs="Times New Roman"/>
          <w:color w:val="auto"/>
          <w:sz w:val="32"/>
          <w:szCs w:val="32"/>
          <w:highlight w:val="none"/>
          <w:lang w:val="en-US" w:eastAsia="zh-CN"/>
        </w:rPr>
        <w:t>：学校自筹。</w:t>
      </w:r>
    </w:p>
    <w:p w14:paraId="51629CE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方正楷体_GBK" w:hAnsi="方正楷体_GBK" w:eastAsia="方正楷体_GBK" w:cs="方正楷体_GBK"/>
          <w:b/>
          <w:bCs/>
          <w:sz w:val="32"/>
          <w:szCs w:val="32"/>
          <w:highlight w:val="none"/>
        </w:rPr>
      </w:pPr>
      <w:r>
        <w:rPr>
          <w:rFonts w:ascii="方正楷体_GBK" w:hAnsi="方正楷体_GBK" w:eastAsia="方正楷体_GBK" w:cs="方正楷体_GBK"/>
          <w:b/>
          <w:bCs/>
          <w:sz w:val="32"/>
          <w:szCs w:val="32"/>
          <w:highlight w:val="none"/>
        </w:rPr>
        <w:t>三、</w:t>
      </w:r>
      <w:r>
        <w:rPr>
          <w:rFonts w:hint="eastAsia" w:ascii="方正楷体_GBK" w:hAnsi="方正楷体_GBK" w:eastAsia="方正楷体_GBK" w:cs="方正楷体_GBK"/>
          <w:b/>
          <w:bCs/>
          <w:sz w:val="32"/>
          <w:szCs w:val="32"/>
          <w:highlight w:val="none"/>
          <w:lang w:val="en-US" w:eastAsia="zh-CN"/>
        </w:rPr>
        <w:t>投标人资格要求</w:t>
      </w:r>
    </w:p>
    <w:p w14:paraId="73C8DF2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1．投标人具有独立承担民事责任的能力，需提供营业执照等证明文件；</w:t>
      </w:r>
    </w:p>
    <w:p w14:paraId="331EFF8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2．投标人具有良好的商业信誉和健全的财务会计制度，需提供近三年的年度财务报表；</w:t>
      </w:r>
    </w:p>
    <w:p w14:paraId="6E29A2D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3．投标人具有依法缴纳税收和社会保障资金的良好记录；</w:t>
      </w:r>
    </w:p>
    <w:p w14:paraId="418C261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4．投标人具有履行合同所必需的专业技术能力；</w:t>
      </w:r>
    </w:p>
    <w:p w14:paraId="18290A8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5．投标人参加政府采购活动前三年内，没有骗取中标行为，无不正当理由放弃中标（成交）行为，未进行过恶意投诉，在经营活动中没有违法、违规记录；</w:t>
      </w:r>
    </w:p>
    <w:p w14:paraId="554AC7E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6．投标方需提供2023年1月1日以来由投标人签署的学校相关项目合同复印件（单个合同金额至少100万元）及类似项目履约能力证明材料；</w:t>
      </w:r>
    </w:p>
    <w:p w14:paraId="3F4494E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7．本次招标允许投标人以投标货物的下列身份参加投标：</w:t>
      </w:r>
    </w:p>
    <w:p w14:paraId="0B43584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(1)制造商、(2)代理商（包括经销商、制造商下属销售子公司）</w:t>
      </w:r>
    </w:p>
    <w:p w14:paraId="0DDE4AB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(1)．投标人为制造商应符合以下要求：</w:t>
      </w:r>
    </w:p>
    <w:p w14:paraId="55F4EC4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①具备独立法人资格；</w:t>
      </w:r>
    </w:p>
    <w:p w14:paraId="229B562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②具备有效的建筑机电安装工程专业承包二级及以上资质。</w:t>
      </w:r>
    </w:p>
    <w:p w14:paraId="5BCA861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(2)．投标人为代理商应符合以下要求：</w:t>
      </w:r>
    </w:p>
    <w:p w14:paraId="49FDBBD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①具备独立法人资格；</w:t>
      </w:r>
    </w:p>
    <w:p w14:paraId="7A44702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②代理商具备 有效的建筑机电安装工程专业承包二级及以上资质；</w:t>
      </w:r>
    </w:p>
    <w:p w14:paraId="0AA7B5C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③ 所投空调 具有制造商针对本项目的唯一授权书。</w:t>
      </w:r>
    </w:p>
    <w:p w14:paraId="64C7C7C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注：本招标项目同一标段中，一个制造商对同一品牌同一型号的货物，仅能委托一个代理商参加投标，否则各相关投标均无效；同一品牌同一型号货物的制造商和代理商不得在本招标项目同一标段中投标，否则各相关投标均无效。</w:t>
      </w:r>
    </w:p>
    <w:p w14:paraId="2B48134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8.具有完善的质量保证和售后服务体系。</w:t>
      </w:r>
    </w:p>
    <w:p w14:paraId="15954B9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方正楷体_GBK" w:hAnsi="方正楷体_GBK" w:eastAsia="方正楷体_GBK" w:cs="方正楷体_GBK"/>
          <w:b/>
          <w:bCs/>
          <w:sz w:val="32"/>
          <w:szCs w:val="32"/>
          <w:highlight w:val="none"/>
        </w:rPr>
      </w:pPr>
      <w:r>
        <w:rPr>
          <w:rFonts w:ascii="方正楷体_GBK" w:hAnsi="方正楷体_GBK" w:eastAsia="方正楷体_GBK" w:cs="方正楷体_GBK"/>
          <w:b/>
          <w:bCs/>
          <w:sz w:val="32"/>
          <w:szCs w:val="32"/>
          <w:highlight w:val="none"/>
        </w:rPr>
        <w:t>四、</w:t>
      </w:r>
      <w:r>
        <w:rPr>
          <w:rFonts w:ascii="方正楷体_GBK" w:hAnsi="方正楷体_GBK" w:eastAsia="方正楷体_GBK" w:cs="方正楷体_GBK"/>
          <w:b/>
          <w:bCs/>
          <w:sz w:val="32"/>
          <w:szCs w:val="32"/>
          <w:highlight w:val="none"/>
          <w:lang w:val="en-US" w:eastAsia="zh-CN"/>
        </w:rPr>
        <w:t>投标、开标有关说明</w:t>
      </w:r>
    </w:p>
    <w:p w14:paraId="1DC609E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（一）招标文件公告期限：</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 xml:space="preserve">6年 5月 12日至 </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lang w:val="en-US" w:eastAsia="zh-CN"/>
        </w:rPr>
        <w:t xml:space="preserve"> </w:t>
      </w:r>
      <w:r>
        <w:rPr>
          <w:rFonts w:hint="eastAsia" w:ascii="Times New Roman" w:hAnsi="Times New Roman" w:eastAsia="方正仿宋_GBK" w:cs="Times New Roman"/>
          <w:color w:val="auto"/>
          <w:sz w:val="28"/>
          <w:szCs w:val="28"/>
          <w:highlight w:val="none"/>
          <w:lang w:val="en-US" w:eastAsia="zh-CN"/>
        </w:rPr>
        <w:t>年 5月 14日。</w:t>
      </w:r>
    </w:p>
    <w:p w14:paraId="40B8F23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（二）招标文件发售期限：同招标文件公告期限。</w:t>
      </w:r>
    </w:p>
    <w:p w14:paraId="0BEF25F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（三）招标文件发售地点：</w:t>
      </w:r>
    </w:p>
    <w:p w14:paraId="070228D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1.现场发售地址：重庆市巴南区龙洲湾尚文大道906号行政楼2420办公室。</w:t>
      </w:r>
    </w:p>
    <w:p w14:paraId="00664FF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2.直接在学校官网下载招标文件。</w:t>
      </w:r>
    </w:p>
    <w:p w14:paraId="6D0EE68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（四）对招标文件的疑问提出时间（若有）：</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lang w:val="en-US" w:eastAsia="zh-CN"/>
        </w:rPr>
        <w:t xml:space="preserve"> </w:t>
      </w:r>
      <w:r>
        <w:rPr>
          <w:rFonts w:hint="eastAsia" w:ascii="Times New Roman" w:hAnsi="Times New Roman" w:eastAsia="方正仿宋_GBK" w:cs="Times New Roman"/>
          <w:color w:val="auto"/>
          <w:sz w:val="28"/>
          <w:szCs w:val="28"/>
          <w:highlight w:val="none"/>
          <w:lang w:val="en-US" w:eastAsia="zh-CN"/>
        </w:rPr>
        <w:t>年 5月 15日以内</w:t>
      </w:r>
      <w:r>
        <w:rPr>
          <w:rFonts w:hint="eastAsia" w:ascii="Times New Roman" w:hAnsi="Times New Roman" w:eastAsia="方正仿宋_GBK" w:cs="Times New Roman"/>
          <w:color w:val="auto"/>
          <w:sz w:val="32"/>
          <w:szCs w:val="32"/>
          <w:highlight w:val="none"/>
          <w:lang w:val="en-US" w:eastAsia="zh-CN"/>
        </w:rPr>
        <w:t>。</w:t>
      </w:r>
    </w:p>
    <w:p w14:paraId="302882B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（五）投标截止时间、投标</w:t>
      </w:r>
      <w:r>
        <w:rPr>
          <w:rFonts w:hint="eastAsia" w:ascii="Times New Roman" w:hAnsi="Times New Roman" w:eastAsia="方正仿宋_GBK" w:cs="Times New Roman"/>
          <w:sz w:val="32"/>
          <w:szCs w:val="32"/>
          <w:highlight w:val="none"/>
          <w:lang w:val="en-US" w:eastAsia="zh-CN"/>
        </w:rPr>
        <w:t>地点、</w:t>
      </w:r>
      <w:r>
        <w:rPr>
          <w:rFonts w:hint="eastAsia" w:ascii="Times New Roman" w:hAnsi="Times New Roman" w:eastAsia="方正仿宋_GBK" w:cs="Times New Roman"/>
          <w:color w:val="auto"/>
          <w:sz w:val="32"/>
          <w:szCs w:val="32"/>
          <w:highlight w:val="none"/>
          <w:lang w:val="en-US" w:eastAsia="zh-CN"/>
        </w:rPr>
        <w:t>开标时间</w:t>
      </w:r>
      <w:r>
        <w:rPr>
          <w:rFonts w:hint="eastAsia" w:ascii="Times New Roman" w:hAnsi="Times New Roman" w:eastAsia="方正仿宋_GBK" w:cs="Times New Roman"/>
          <w:sz w:val="32"/>
          <w:szCs w:val="32"/>
          <w:highlight w:val="none"/>
          <w:lang w:val="en-US" w:eastAsia="zh-CN"/>
        </w:rPr>
        <w:t>：</w:t>
      </w:r>
      <w:r>
        <w:rPr>
          <w:rFonts w:ascii="Times New Roman" w:hAnsi="Times New Roman" w:eastAsia="方正仿宋_GBK" w:cs="Times New Roman"/>
          <w:color w:val="auto"/>
          <w:sz w:val="32"/>
          <w:szCs w:val="32"/>
          <w:highlight w:val="none"/>
        </w:rPr>
        <w:t>在重庆财经学院</w:t>
      </w:r>
      <w:r>
        <w:rPr>
          <w:rFonts w:hint="eastAsia" w:ascii="Times New Roman" w:hAnsi="Times New Roman" w:eastAsia="方正仿宋_GBK" w:cs="Times New Roman"/>
          <w:color w:val="auto"/>
          <w:sz w:val="32"/>
          <w:szCs w:val="32"/>
          <w:highlight w:val="none"/>
          <w:lang w:val="en-US" w:eastAsia="zh-CN"/>
        </w:rPr>
        <w:t>官</w:t>
      </w:r>
      <w:r>
        <w:rPr>
          <w:rFonts w:ascii="Times New Roman" w:hAnsi="Times New Roman" w:eastAsia="方正仿宋_GBK" w:cs="Times New Roman"/>
          <w:color w:val="auto"/>
          <w:sz w:val="32"/>
          <w:szCs w:val="32"/>
          <w:highlight w:val="none"/>
        </w:rPr>
        <w:t>网上发布</w:t>
      </w:r>
      <w:r>
        <w:rPr>
          <w:rFonts w:hint="eastAsia" w:ascii="Times New Roman" w:hAnsi="Times New Roman" w:eastAsia="方正仿宋_GBK" w:cs="Times New Roman"/>
          <w:color w:val="auto"/>
          <w:sz w:val="32"/>
          <w:szCs w:val="32"/>
          <w:highlight w:val="none"/>
          <w:lang w:val="en-US" w:eastAsia="zh-CN"/>
        </w:rPr>
        <w:t>投标截止时间公告</w:t>
      </w:r>
      <w:r>
        <w:rPr>
          <w:rFonts w:ascii="Times New Roman" w:hAnsi="Times New Roman" w:eastAsia="方正仿宋_GBK" w:cs="Times New Roman"/>
          <w:color w:val="auto"/>
          <w:sz w:val="32"/>
          <w:szCs w:val="32"/>
          <w:highlight w:val="none"/>
        </w:rPr>
        <w:t>。</w:t>
      </w:r>
    </w:p>
    <w:p w14:paraId="76B0F45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方正楷体_GBK" w:hAnsi="方正楷体_GBK" w:eastAsia="方正楷体_GBK" w:cs="方正楷体_GBK"/>
          <w:b/>
          <w:bCs/>
          <w:sz w:val="32"/>
          <w:szCs w:val="32"/>
          <w:highlight w:val="none"/>
          <w:lang w:val="en-US"/>
        </w:rPr>
      </w:pPr>
      <w:r>
        <w:rPr>
          <w:rFonts w:ascii="方正楷体_GBK" w:hAnsi="方正楷体_GBK" w:eastAsia="方正楷体_GBK" w:cs="方正楷体_GBK"/>
          <w:b/>
          <w:bCs/>
          <w:sz w:val="32"/>
          <w:szCs w:val="32"/>
          <w:highlight w:val="none"/>
          <w:lang w:val="en-US" w:eastAsia="zh-CN"/>
        </w:rPr>
        <w:t>五、招标文件购买费、投标保证金</w:t>
      </w:r>
      <w:r>
        <w:rPr>
          <w:rFonts w:hint="eastAsia" w:ascii="方正楷体_GBK" w:hAnsi="方正楷体_GBK" w:eastAsia="方正楷体_GBK" w:cs="方正楷体_GBK"/>
          <w:b/>
          <w:bCs/>
          <w:sz w:val="32"/>
          <w:szCs w:val="32"/>
          <w:highlight w:val="none"/>
          <w:lang w:val="en-US" w:eastAsia="zh-CN"/>
        </w:rPr>
        <w:t>、中标服务费</w:t>
      </w:r>
    </w:p>
    <w:p w14:paraId="21BF18C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lang w:val="en-US" w:eastAsia="zh-CN"/>
        </w:rPr>
        <w:t>一</w:t>
      </w:r>
      <w:r>
        <w:rPr>
          <w:rFonts w:hint="eastAsia" w:ascii="Times New Roman" w:hAnsi="Times New Roman" w:eastAsia="方正仿宋_GBK" w:cs="Times New Roman"/>
          <w:b w:val="0"/>
          <w:bCs w:val="0"/>
          <w:sz w:val="32"/>
          <w:szCs w:val="32"/>
          <w:highlight w:val="none"/>
          <w:lang w:eastAsia="zh-CN"/>
        </w:rPr>
        <w:t>）</w:t>
      </w:r>
      <w:r>
        <w:rPr>
          <w:rFonts w:ascii="Times New Roman" w:hAnsi="Times New Roman" w:eastAsia="方正仿宋_GBK" w:cs="Times New Roman"/>
          <w:b w:val="0"/>
          <w:bCs w:val="0"/>
          <w:sz w:val="32"/>
          <w:szCs w:val="32"/>
          <w:highlight w:val="none"/>
        </w:rPr>
        <w:t>招标文件</w:t>
      </w:r>
      <w:r>
        <w:rPr>
          <w:rFonts w:hint="eastAsia" w:ascii="Times New Roman" w:hAnsi="Times New Roman" w:eastAsia="方正仿宋_GBK" w:cs="Times New Roman"/>
          <w:b w:val="0"/>
          <w:bCs w:val="0"/>
          <w:sz w:val="32"/>
          <w:szCs w:val="32"/>
          <w:highlight w:val="none"/>
          <w:lang w:val="en-US" w:eastAsia="zh-CN"/>
        </w:rPr>
        <w:t>购买费：</w:t>
      </w:r>
      <w:r>
        <w:rPr>
          <w:rFonts w:hint="eastAsia" w:ascii="Times New Roman" w:hAnsi="Times New Roman" w:eastAsia="方正仿宋_GBK" w:cs="Times New Roman"/>
          <w:color w:val="auto"/>
          <w:sz w:val="32"/>
          <w:szCs w:val="32"/>
          <w:highlight w:val="none"/>
          <w:lang w:val="en-US" w:eastAsia="zh-CN"/>
        </w:rPr>
        <w:t>人民币200元/份；</w:t>
      </w:r>
    </w:p>
    <w:p w14:paraId="40BE5EF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报名费收费账</w:t>
      </w:r>
      <w:r>
        <w:rPr>
          <w:rFonts w:hint="eastAsia" w:ascii="Times New Roman" w:hAnsi="Times New Roman" w:eastAsia="方正仿宋_GBK" w:cs="Times New Roman"/>
          <w:b w:val="0"/>
          <w:bCs w:val="0"/>
          <w:sz w:val="32"/>
          <w:szCs w:val="32"/>
          <w:highlight w:val="none"/>
          <w:lang w:val="en-US" w:eastAsia="zh-CN"/>
        </w:rPr>
        <w:t>户：1001010120010030105，重庆财经学院，农村商业银行重庆巴南支行。</w:t>
      </w:r>
    </w:p>
    <w:p w14:paraId="60294DC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eastAsia="zh-CN"/>
        </w:rPr>
      </w:pPr>
      <w:r>
        <w:rPr>
          <w:rFonts w:hint="eastAsia" w:ascii="Times New Roman" w:hAnsi="Times New Roman" w:eastAsia="方正仿宋_GBK" w:cs="Times New Roman"/>
          <w:b w:val="0"/>
          <w:bCs w:val="0"/>
          <w:sz w:val="32"/>
          <w:szCs w:val="32"/>
          <w:highlight w:val="none"/>
          <w:lang w:val="en-US" w:eastAsia="zh-CN"/>
        </w:rPr>
        <w:t>1.</w:t>
      </w:r>
      <w:r>
        <w:rPr>
          <w:rFonts w:hint="eastAsia" w:ascii="Times New Roman" w:hAnsi="Times New Roman" w:eastAsia="方正仿宋_GBK" w:cs="Times New Roman"/>
          <w:b w:val="0"/>
          <w:bCs w:val="0"/>
          <w:sz w:val="32"/>
          <w:szCs w:val="32"/>
          <w:highlight w:val="none"/>
          <w:lang w:eastAsia="zh-CN"/>
        </w:rPr>
        <w:t>汇款的</w:t>
      </w:r>
      <w:r>
        <w:rPr>
          <w:rFonts w:hint="eastAsia" w:ascii="Times New Roman" w:hAnsi="Times New Roman" w:eastAsia="方正仿宋_GBK" w:cs="Times New Roman"/>
          <w:b w:val="0"/>
          <w:bCs w:val="0"/>
          <w:sz w:val="32"/>
          <w:szCs w:val="32"/>
          <w:highlight w:val="none"/>
          <w:lang w:val="en-US" w:eastAsia="zh-CN"/>
        </w:rPr>
        <w:t>投标方</w:t>
      </w:r>
      <w:r>
        <w:rPr>
          <w:rFonts w:hint="eastAsia" w:ascii="Times New Roman" w:hAnsi="Times New Roman" w:eastAsia="方正仿宋_GBK" w:cs="Times New Roman"/>
          <w:b w:val="0"/>
          <w:bCs w:val="0"/>
          <w:sz w:val="32"/>
          <w:szCs w:val="32"/>
          <w:highlight w:val="none"/>
          <w:lang w:eastAsia="zh-CN"/>
        </w:rPr>
        <w:t>须在付款凭证摘要/用途中填</w:t>
      </w:r>
      <w:r>
        <w:rPr>
          <w:rFonts w:hint="eastAsia" w:ascii="Times New Roman" w:hAnsi="Times New Roman" w:eastAsia="方正仿宋_GBK" w:cs="Times New Roman"/>
          <w:b w:val="0"/>
          <w:bCs w:val="0"/>
          <w:sz w:val="32"/>
          <w:szCs w:val="32"/>
          <w:highlight w:val="none"/>
          <w:lang w:val="en-US" w:eastAsia="zh-CN"/>
        </w:rPr>
        <w:t>写</w:t>
      </w:r>
      <w:r>
        <w:rPr>
          <w:rFonts w:hint="eastAsia" w:ascii="Times New Roman" w:hAnsi="Times New Roman" w:eastAsia="方正仿宋_GBK" w:cs="Times New Roman"/>
          <w:b w:val="0"/>
          <w:bCs w:val="0"/>
          <w:color w:val="auto"/>
          <w:sz w:val="32"/>
          <w:szCs w:val="32"/>
          <w:highlight w:val="none"/>
          <w:u w:val="single"/>
          <w:lang w:val="en-US" w:eastAsia="zh-CN"/>
        </w:rPr>
        <w:t>“重庆财经学院中央空调采购项目招标文件购买费”</w:t>
      </w:r>
      <w:r>
        <w:rPr>
          <w:rFonts w:hint="eastAsia" w:ascii="Times New Roman" w:hAnsi="Times New Roman" w:eastAsia="方正仿宋_GBK" w:cs="Times New Roman"/>
          <w:b w:val="0"/>
          <w:bCs w:val="0"/>
          <w:sz w:val="32"/>
          <w:szCs w:val="32"/>
          <w:highlight w:val="none"/>
          <w:lang w:eastAsia="zh-CN"/>
        </w:rPr>
        <w:t>，并在投标文件</w:t>
      </w:r>
      <w:r>
        <w:rPr>
          <w:rFonts w:hint="eastAsia" w:ascii="Times New Roman" w:hAnsi="Times New Roman" w:eastAsia="方正仿宋_GBK" w:cs="Times New Roman"/>
          <w:b w:val="0"/>
          <w:bCs w:val="0"/>
          <w:sz w:val="32"/>
          <w:szCs w:val="32"/>
          <w:highlight w:val="none"/>
          <w:lang w:val="en-US" w:eastAsia="zh-CN"/>
        </w:rPr>
        <w:t>最后</w:t>
      </w:r>
      <w:r>
        <w:rPr>
          <w:rFonts w:hint="eastAsia" w:ascii="Times New Roman" w:hAnsi="Times New Roman" w:eastAsia="方正仿宋_GBK" w:cs="Times New Roman"/>
          <w:b w:val="0"/>
          <w:bCs w:val="0"/>
          <w:sz w:val="32"/>
          <w:szCs w:val="32"/>
          <w:highlight w:val="none"/>
          <w:lang w:eastAsia="zh-CN"/>
        </w:rPr>
        <w:t>附纸质的转账凭证复印件。</w:t>
      </w:r>
    </w:p>
    <w:p w14:paraId="30DD219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2.汇款截止时间：同招标文件公告截止日期。</w:t>
      </w:r>
    </w:p>
    <w:p w14:paraId="494A3E3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eastAsia="zh-CN"/>
        </w:rPr>
      </w:pPr>
      <w:r>
        <w:rPr>
          <w:rFonts w:hint="eastAsia" w:ascii="Times New Roman" w:hAnsi="Times New Roman" w:eastAsia="方正仿宋_GBK" w:cs="Times New Roman"/>
          <w:b w:val="0"/>
          <w:bCs w:val="0"/>
          <w:sz w:val="32"/>
          <w:szCs w:val="32"/>
          <w:highlight w:val="none"/>
          <w:lang w:eastAsia="zh-CN"/>
        </w:rPr>
        <w:t>供应商在银行转账（电汇）时，须充分考虑银行转账（电汇）的时间差风险，如同城转账、异地转账或汇款、跨行转账或电汇的时间要求。</w:t>
      </w:r>
    </w:p>
    <w:p w14:paraId="5763928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3.汇</w:t>
      </w:r>
      <w:bookmarkStart w:id="226" w:name="_GoBack"/>
      <w:bookmarkEnd w:id="226"/>
      <w:r>
        <w:rPr>
          <w:rFonts w:hint="eastAsia" w:ascii="Times New Roman" w:hAnsi="Times New Roman" w:eastAsia="方正仿宋_GBK" w:cs="Times New Roman"/>
          <w:b/>
          <w:bCs/>
          <w:sz w:val="32"/>
          <w:szCs w:val="32"/>
          <w:highlight w:val="none"/>
          <w:lang w:val="en-US" w:eastAsia="zh-CN"/>
        </w:rPr>
        <w:t>款方请在投标截止时间公告日前，及时将缴费记录截图、公司名称、项目负责人姓名、联系电话以邮件发送至1308772756@qq.com邮箱，以便于及时为其开具收款凭证。</w:t>
      </w:r>
    </w:p>
    <w:p w14:paraId="10BEB9C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（二）投标保证金</w:t>
      </w:r>
    </w:p>
    <w:p w14:paraId="43428A0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投标人应以现金的形式提供人民币</w:t>
      </w:r>
      <w:r>
        <w:rPr>
          <w:rFonts w:hint="eastAsia" w:ascii="Times New Roman" w:hAnsi="Times New Roman" w:eastAsia="方正仿宋_GBK" w:cs="Times New Roman"/>
          <w:b w:val="0"/>
          <w:bCs w:val="0"/>
          <w:color w:val="auto"/>
          <w:sz w:val="32"/>
          <w:szCs w:val="32"/>
          <w:highlight w:val="none"/>
          <w:u w:val="single"/>
          <w:lang w:val="en-US" w:eastAsia="zh-CN"/>
        </w:rPr>
        <w:t>20000元（大写贰万元整）</w:t>
      </w:r>
      <w:r>
        <w:rPr>
          <w:rFonts w:hint="eastAsia" w:ascii="Times New Roman" w:hAnsi="Times New Roman" w:eastAsia="方正仿宋_GBK" w:cs="Times New Roman"/>
          <w:color w:val="auto"/>
          <w:sz w:val="32"/>
          <w:szCs w:val="32"/>
          <w:highlight w:val="none"/>
          <w:lang w:val="en-US" w:eastAsia="zh-CN"/>
        </w:rPr>
        <w:t>的投标保证金。</w:t>
      </w:r>
    </w:p>
    <w:p w14:paraId="11E5992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非中标人的投标人保证金，现场退还；中标人与采购人签订合同后，投标保证金自动转为履约保证金，多退少补。</w:t>
      </w:r>
    </w:p>
    <w:p w14:paraId="476AA94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（三）中标服务费</w:t>
      </w:r>
    </w:p>
    <w:p w14:paraId="621FB7D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本项目将收取中标服务费，计算基数是中标通知书中载明的中标金额，按下表以差额定率累进法计算，并在此基础上八折收取。</w:t>
      </w:r>
    </w:p>
    <w:tbl>
      <w:tblPr>
        <w:tblStyle w:val="43"/>
        <w:tblpPr w:leftFromText="180" w:rightFromText="180" w:vertAnchor="text" w:horzAnchor="page" w:tblpX="1906"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211"/>
      </w:tblGrid>
      <w:tr w14:paraId="7EDF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125EF951">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中标金额（万元）</w:t>
            </w:r>
          </w:p>
        </w:tc>
        <w:tc>
          <w:tcPr>
            <w:tcW w:w="4211" w:type="dxa"/>
          </w:tcPr>
          <w:p w14:paraId="4EFCD8CB">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费率（%）</w:t>
            </w:r>
          </w:p>
        </w:tc>
      </w:tr>
      <w:tr w14:paraId="7C9A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342EEDAC">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100以下</w:t>
            </w:r>
          </w:p>
        </w:tc>
        <w:tc>
          <w:tcPr>
            <w:tcW w:w="4211" w:type="dxa"/>
          </w:tcPr>
          <w:p w14:paraId="4BE53FD0">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eastAsiaTheme="minorEastAsia"/>
                <w:szCs w:val="24"/>
                <w:lang w:val="en-US" w:eastAsia="zh-CN"/>
              </w:rPr>
            </w:pPr>
            <w:r>
              <w:rPr>
                <w:rFonts w:hint="eastAsia"/>
                <w:szCs w:val="24"/>
              </w:rPr>
              <w:t>1.</w:t>
            </w:r>
            <w:r>
              <w:rPr>
                <w:rFonts w:hint="eastAsia"/>
                <w:szCs w:val="24"/>
                <w:lang w:val="en-US" w:eastAsia="zh-CN"/>
              </w:rPr>
              <w:t>0</w:t>
            </w:r>
          </w:p>
        </w:tc>
      </w:tr>
      <w:tr w14:paraId="2F12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5B9DD2DA">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100-500</w:t>
            </w:r>
          </w:p>
        </w:tc>
        <w:tc>
          <w:tcPr>
            <w:tcW w:w="4211" w:type="dxa"/>
          </w:tcPr>
          <w:p w14:paraId="59F57F6B">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eastAsiaTheme="minorEastAsia"/>
                <w:szCs w:val="24"/>
                <w:lang w:val="en-US" w:eastAsia="zh-CN"/>
              </w:rPr>
            </w:pPr>
            <w:r>
              <w:rPr>
                <w:rFonts w:hint="eastAsia"/>
                <w:szCs w:val="24"/>
                <w:lang w:val="en-US" w:eastAsia="zh-CN"/>
              </w:rPr>
              <w:t>0.7</w:t>
            </w:r>
          </w:p>
        </w:tc>
      </w:tr>
    </w:tbl>
    <w:p w14:paraId="52CEA96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p>
    <w:p w14:paraId="5EA11CE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lang w:val="en-US" w:eastAsia="zh-CN"/>
        </w:rPr>
        <w:t>六</w:t>
      </w:r>
      <w:r>
        <w:rPr>
          <w:rFonts w:ascii="Times New Roman" w:hAnsi="Times New Roman" w:eastAsia="方正仿宋_GBK" w:cs="Times New Roman"/>
          <w:b/>
          <w:bCs/>
          <w:sz w:val="32"/>
          <w:szCs w:val="32"/>
          <w:highlight w:val="none"/>
          <w:lang w:val="en-US" w:eastAsia="zh-CN"/>
        </w:rPr>
        <w:t xml:space="preserve">、投标有关规定 </w:t>
      </w:r>
    </w:p>
    <w:p w14:paraId="2ADF8FC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（一）单位负责人为同一人或者存在直接控股、管理关系的不同投标人，不得参加同一合同项（包）下的采购活动。 </w:t>
      </w:r>
    </w:p>
    <w:p w14:paraId="07A3DBB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（二）本项目招标文件公告、截标时间公告、澄清文件（若有）等一律在“重庆财经学院官网（http://www.cfec.edu.cn）上发布；无论投标人下载或领取与否，均视同投标人已知晓本项目的所有内容。 </w:t>
      </w:r>
    </w:p>
    <w:p w14:paraId="4E5F073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FF0000"/>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（三）超过投标截止时间递交的投标文件，恕不接收。 </w:t>
      </w:r>
      <w:r>
        <w:rPr>
          <w:rFonts w:ascii="Times New Roman" w:hAnsi="Times New Roman" w:eastAsia="方正仿宋_GBK" w:cs="Times New Roman"/>
          <w:b/>
          <w:bCs/>
          <w:sz w:val="32"/>
          <w:szCs w:val="32"/>
          <w:highlight w:val="none"/>
        </w:rPr>
        <w:t>本次招标不接受邮寄的投标文件。</w:t>
      </w:r>
    </w:p>
    <w:p w14:paraId="1EA6082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（四）投标费用：无论投标结果如何，投标人参与本项目投标的所有费用均应由投标人自行承担。投标资格不得转让 。</w:t>
      </w:r>
    </w:p>
    <w:p w14:paraId="206BA5A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（五）本项目不接受联合体参与投标。 </w:t>
      </w:r>
    </w:p>
    <w:p w14:paraId="6F78AE3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（六）投标人列入失信被执行人、重大税收违法案件当事人名单、政府采购严重违法失信行为单位，将拒绝其参与本次采购活动。</w:t>
      </w:r>
    </w:p>
    <w:p w14:paraId="163309A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 xml:space="preserve">七、勘察现场(重要):     </w:t>
      </w:r>
    </w:p>
    <w:p w14:paraId="32D1F47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投标人需进行现场实地勘察，文件中招标项目内容为校方提供的相关材料，仅作参考，本项目需投标人自行现场勘察后报价，报名时默认投标人已进行现场勘察，后续问题自行承担。 </w:t>
      </w:r>
      <w:r>
        <w:rPr>
          <w:rFonts w:hint="eastAsia" w:ascii="Times New Roman" w:hAnsi="Times New Roman" w:eastAsia="方正仿宋_GBK" w:cs="Times New Roman"/>
          <w:b/>
          <w:bCs/>
          <w:sz w:val="32"/>
          <w:szCs w:val="32"/>
          <w:highlight w:val="none"/>
          <w:lang w:val="en-US" w:eastAsia="zh-CN"/>
        </w:rPr>
        <w:t xml:space="preserve">   </w:t>
      </w:r>
    </w:p>
    <w:p w14:paraId="749C582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勘察联系人：</w:t>
      </w:r>
      <w:r>
        <w:rPr>
          <w:rFonts w:hint="eastAsia" w:ascii="Times New Roman" w:hAnsi="Times New Roman" w:eastAsia="方正仿宋_GBK" w:cs="Times New Roman"/>
          <w:sz w:val="32"/>
          <w:szCs w:val="32"/>
          <w:highlight w:val="none"/>
          <w:lang w:val="en-US" w:eastAsia="zh-CN"/>
        </w:rPr>
        <w:t>蔡老师，电话：15023937816</w:t>
      </w:r>
    </w:p>
    <w:p w14:paraId="22F2BC2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0000FF"/>
          <w:sz w:val="32"/>
          <w:szCs w:val="32"/>
          <w:highlight w:val="none"/>
          <w:lang w:eastAsia="zh-CN"/>
        </w:rPr>
      </w:pPr>
      <w:r>
        <w:rPr>
          <w:rFonts w:hint="eastAsia" w:ascii="Times New Roman" w:hAnsi="Times New Roman" w:eastAsia="方正仿宋_GBK" w:cs="Times New Roman"/>
          <w:b/>
          <w:bCs/>
          <w:sz w:val="32"/>
          <w:szCs w:val="32"/>
          <w:highlight w:val="none"/>
          <w:lang w:val="en-US" w:eastAsia="zh-CN"/>
        </w:rPr>
        <w:t>具体项目地点：</w:t>
      </w:r>
      <w:r>
        <w:rPr>
          <w:rFonts w:hint="eastAsia" w:ascii="Times New Roman" w:hAnsi="Times New Roman" w:eastAsia="方正仿宋_GBK" w:cs="Times New Roman"/>
          <w:color w:val="auto"/>
          <w:sz w:val="32"/>
          <w:szCs w:val="32"/>
          <w:highlight w:val="none"/>
          <w:lang w:val="en-US" w:eastAsia="zh-CN"/>
        </w:rPr>
        <w:t>重庆市巴南区云教育产业园</w:t>
      </w:r>
      <w:r>
        <w:rPr>
          <w:rFonts w:hint="eastAsia" w:ascii="Times New Roman" w:hAnsi="Times New Roman" w:eastAsia="方正仿宋_GBK" w:cs="Times New Roman"/>
          <w:color w:val="auto"/>
          <w:sz w:val="32"/>
          <w:szCs w:val="32"/>
          <w:highlight w:val="none"/>
        </w:rPr>
        <w:t>3、4、5幢</w:t>
      </w:r>
      <w:r>
        <w:rPr>
          <w:rFonts w:hint="eastAsia" w:ascii="Times New Roman" w:hAnsi="Times New Roman" w:eastAsia="方正仿宋_GBK" w:cs="Times New Roman"/>
          <w:color w:val="auto"/>
          <w:sz w:val="32"/>
          <w:szCs w:val="32"/>
          <w:highlight w:val="none"/>
          <w:lang w:val="en-US" w:eastAsia="zh-CN"/>
        </w:rPr>
        <w:t>。导航地址：重庆市</w:t>
      </w:r>
      <w:r>
        <w:rPr>
          <w:rFonts w:hint="eastAsia" w:ascii="Times New Roman" w:hAnsi="Times New Roman" w:eastAsia="方正仿宋_GBK" w:cs="Times New Roman"/>
          <w:color w:val="auto"/>
          <w:sz w:val="32"/>
          <w:szCs w:val="32"/>
          <w:highlight w:val="none"/>
        </w:rPr>
        <w:t>巴南区智云大道1580号4幢3单元</w:t>
      </w:r>
      <w:r>
        <w:rPr>
          <w:rFonts w:hint="eastAsia" w:ascii="Times New Roman" w:hAnsi="Times New Roman" w:eastAsia="方正仿宋_GBK" w:cs="Times New Roman"/>
          <w:color w:val="auto"/>
          <w:sz w:val="32"/>
          <w:szCs w:val="32"/>
          <w:highlight w:val="none"/>
          <w:lang w:eastAsia="zh-CN"/>
        </w:rPr>
        <w:t>。</w:t>
      </w:r>
    </w:p>
    <w:p w14:paraId="117FB5E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八、联系方式（</w:t>
      </w:r>
      <w:r>
        <w:rPr>
          <w:rFonts w:hint="default" w:ascii="Times New Roman" w:hAnsi="Times New Roman" w:eastAsia="方正仿宋_GBK" w:cs="Times New Roman"/>
          <w:b/>
          <w:bCs/>
          <w:sz w:val="32"/>
          <w:szCs w:val="32"/>
          <w:highlight w:val="none"/>
          <w:lang w:eastAsia="zh-CN"/>
          <w:woUserID w:val="1"/>
        </w:rPr>
        <w:t>回标</w:t>
      </w:r>
      <w:r>
        <w:rPr>
          <w:rFonts w:hint="eastAsia" w:ascii="Times New Roman" w:hAnsi="Times New Roman" w:eastAsia="方正仿宋_GBK" w:cs="Times New Roman"/>
          <w:b/>
          <w:bCs/>
          <w:sz w:val="32"/>
          <w:szCs w:val="32"/>
          <w:highlight w:val="none"/>
          <w:lang w:val="en-US" w:eastAsia="zh-CN"/>
        </w:rPr>
        <w:t>地址）</w:t>
      </w:r>
    </w:p>
    <w:p w14:paraId="3216756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联系人：</w:t>
      </w:r>
      <w:r>
        <w:rPr>
          <w:rFonts w:hint="eastAsia" w:ascii="Times New Roman" w:hAnsi="Times New Roman" w:eastAsia="方正仿宋_GBK" w:cs="Times New Roman"/>
          <w:sz w:val="32"/>
          <w:szCs w:val="32"/>
          <w:highlight w:val="none"/>
          <w:lang w:eastAsia="zh-CN"/>
        </w:rPr>
        <w:t>朱</w:t>
      </w:r>
      <w:r>
        <w:rPr>
          <w:rFonts w:ascii="Times New Roman" w:hAnsi="Times New Roman" w:eastAsia="方正仿宋_GBK" w:cs="Times New Roman"/>
          <w:sz w:val="32"/>
          <w:szCs w:val="32"/>
          <w:highlight w:val="none"/>
        </w:rPr>
        <w:t xml:space="preserve">老师   </w:t>
      </w:r>
    </w:p>
    <w:p w14:paraId="420CC3D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ascii="Times New Roman" w:hAnsi="Times New Roman" w:eastAsia="方正仿宋_GBK" w:cs="Times New Roman"/>
          <w:sz w:val="32"/>
          <w:szCs w:val="32"/>
          <w:highlight w:val="none"/>
        </w:rPr>
        <w:t>联系电话：</w:t>
      </w:r>
      <w:r>
        <w:rPr>
          <w:rFonts w:hint="eastAsia" w:ascii="Times New Roman" w:hAnsi="Times New Roman" w:eastAsia="方正仿宋_GBK" w:cs="Times New Roman"/>
          <w:sz w:val="32"/>
          <w:szCs w:val="32"/>
          <w:highlight w:val="none"/>
          <w:lang w:val="en-US" w:eastAsia="zh-CN"/>
        </w:rPr>
        <w:t>023-</w:t>
      </w:r>
      <w:r>
        <w:rPr>
          <w:rFonts w:ascii="Times New Roman" w:hAnsi="Times New Roman" w:eastAsia="方正仿宋_GBK" w:cs="Times New Roman"/>
          <w:sz w:val="32"/>
          <w:szCs w:val="32"/>
          <w:highlight w:val="none"/>
        </w:rPr>
        <w:t>88968</w:t>
      </w:r>
      <w:r>
        <w:rPr>
          <w:rFonts w:hint="eastAsia" w:ascii="Times New Roman" w:hAnsi="Times New Roman" w:eastAsia="方正仿宋_GBK" w:cs="Times New Roman"/>
          <w:sz w:val="32"/>
          <w:szCs w:val="32"/>
          <w:highlight w:val="none"/>
          <w:lang w:val="en-US" w:eastAsia="zh-CN"/>
        </w:rPr>
        <w:t>736 / 13272608984</w:t>
      </w:r>
    </w:p>
    <w:p w14:paraId="1824A0F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技术咨询：蔡老师，电话：15023937816</w:t>
      </w:r>
    </w:p>
    <w:p w14:paraId="4D696BE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招标人：重庆财经学院</w:t>
      </w:r>
    </w:p>
    <w:p w14:paraId="76A398C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地址：重庆市巴南区龙洲湾尚文大道906号</w:t>
      </w:r>
      <w:r>
        <w:rPr>
          <w:rFonts w:hint="eastAsia" w:ascii="Times New Roman" w:hAnsi="Times New Roman" w:eastAsia="方正仿宋_GBK" w:cs="Times New Roman"/>
          <w:sz w:val="32"/>
          <w:szCs w:val="32"/>
          <w:highlight w:val="none"/>
          <w:lang w:val="en-US" w:eastAsia="zh-CN"/>
        </w:rPr>
        <w:t>行政楼2420后勤处。</w:t>
      </w:r>
    </w:p>
    <w:p w14:paraId="66378F90">
      <w:pPr>
        <w:pStyle w:val="2"/>
        <w:numPr>
          <w:ilvl w:val="0"/>
          <w:numId w:val="0"/>
        </w:numPr>
        <w:spacing w:before="0" w:after="0" w:line="520" w:lineRule="exact"/>
        <w:ind w:left="432"/>
        <w:jc w:val="center"/>
        <w:rPr>
          <w:rFonts w:ascii="Times New Roman" w:hAnsi="Times New Roman" w:eastAsia="方正小标宋_GBK" w:cs="Times New Roman"/>
          <w:color w:val="0000FF"/>
          <w:highlight w:val="none"/>
        </w:rPr>
      </w:pPr>
      <w:bookmarkStart w:id="0" w:name="_Toc531594734"/>
      <w:bookmarkStart w:id="1" w:name="_Toc30163"/>
      <w:bookmarkStart w:id="2" w:name="_Toc481694468"/>
      <w:bookmarkStart w:id="3" w:name="_Toc484637073"/>
      <w:bookmarkStart w:id="4" w:name="_Toc287607744"/>
      <w:bookmarkStart w:id="5" w:name="_Toc224103315"/>
      <w:r>
        <w:rPr>
          <w:rFonts w:ascii="Times New Roman" w:hAnsi="Times New Roman" w:eastAsia="方正小标宋_GBK" w:cs="Times New Roman"/>
          <w:highlight w:val="none"/>
        </w:rPr>
        <w:t>第二章 投标人</w:t>
      </w:r>
      <w:r>
        <w:rPr>
          <w:rFonts w:hint="eastAsia" w:ascii="Times New Roman" w:hAnsi="Times New Roman" w:eastAsia="方正小标宋_GBK" w:cs="Times New Roman"/>
          <w:color w:val="auto"/>
          <w:highlight w:val="none"/>
          <w:lang w:val="en-US" w:eastAsia="zh-CN"/>
        </w:rPr>
        <w:t>须</w:t>
      </w:r>
      <w:r>
        <w:rPr>
          <w:rFonts w:ascii="Times New Roman" w:hAnsi="Times New Roman" w:eastAsia="方正小标宋_GBK" w:cs="Times New Roman"/>
          <w:color w:val="auto"/>
          <w:highlight w:val="none"/>
        </w:rPr>
        <w:t>知</w:t>
      </w:r>
      <w:bookmarkEnd w:id="0"/>
      <w:bookmarkEnd w:id="1"/>
      <w:bookmarkEnd w:id="2"/>
      <w:bookmarkEnd w:id="3"/>
      <w:bookmarkEnd w:id="4"/>
      <w:bookmarkEnd w:id="5"/>
    </w:p>
    <w:p w14:paraId="35ADD984">
      <w:pPr>
        <w:rPr>
          <w:rFonts w:ascii="Times New Roman" w:hAnsi="Times New Roman" w:cs="Times New Roman"/>
          <w:highlight w:val="none"/>
        </w:rPr>
      </w:pPr>
    </w:p>
    <w:p w14:paraId="4D443020">
      <w:pPr>
        <w:jc w:val="center"/>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（投标人</w:t>
      </w:r>
      <w:r>
        <w:rPr>
          <w:rFonts w:hint="eastAsia" w:ascii="Times New Roman" w:hAnsi="Times New Roman" w:eastAsia="方正仿宋_GBK" w:cs="Times New Roman"/>
          <w:sz w:val="32"/>
          <w:szCs w:val="32"/>
          <w:highlight w:val="none"/>
          <w:lang w:val="en-US" w:eastAsia="zh-CN"/>
        </w:rPr>
        <w:t>须知</w:t>
      </w:r>
      <w:r>
        <w:rPr>
          <w:rFonts w:ascii="Times New Roman" w:hAnsi="Times New Roman" w:eastAsia="方正仿宋_GBK" w:cs="Times New Roman"/>
          <w:sz w:val="32"/>
          <w:szCs w:val="32"/>
          <w:highlight w:val="none"/>
        </w:rPr>
        <w:t>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15"/>
        <w:gridCol w:w="6092"/>
      </w:tblGrid>
      <w:tr w14:paraId="0FE9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D23A09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条款号</w:t>
            </w:r>
          </w:p>
        </w:tc>
        <w:tc>
          <w:tcPr>
            <w:tcW w:w="1515" w:type="dxa"/>
            <w:tcBorders>
              <w:top w:val="single" w:color="auto" w:sz="4" w:space="0"/>
              <w:left w:val="single" w:color="auto" w:sz="4" w:space="0"/>
              <w:bottom w:val="single" w:color="auto" w:sz="4" w:space="0"/>
              <w:right w:val="single" w:color="auto" w:sz="4" w:space="0"/>
            </w:tcBorders>
            <w:vAlign w:val="center"/>
          </w:tcPr>
          <w:p w14:paraId="15A3B69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条款名称</w:t>
            </w:r>
          </w:p>
        </w:tc>
        <w:tc>
          <w:tcPr>
            <w:tcW w:w="6092" w:type="dxa"/>
            <w:tcBorders>
              <w:top w:val="single" w:color="auto" w:sz="4" w:space="0"/>
              <w:left w:val="single" w:color="auto" w:sz="4" w:space="0"/>
              <w:bottom w:val="single" w:color="auto" w:sz="4" w:space="0"/>
              <w:right w:val="single" w:color="auto" w:sz="4" w:space="0"/>
            </w:tcBorders>
            <w:vAlign w:val="center"/>
          </w:tcPr>
          <w:p w14:paraId="080F596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编  列  内  容</w:t>
            </w:r>
          </w:p>
        </w:tc>
      </w:tr>
      <w:tr w14:paraId="79E1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5" w:type="dxa"/>
            <w:tcBorders>
              <w:top w:val="single" w:color="auto" w:sz="4" w:space="0"/>
              <w:left w:val="single" w:color="auto" w:sz="4" w:space="0"/>
              <w:bottom w:val="single" w:color="auto" w:sz="4" w:space="0"/>
              <w:right w:val="single" w:color="auto" w:sz="4" w:space="0"/>
            </w:tcBorders>
            <w:vAlign w:val="center"/>
          </w:tcPr>
          <w:p w14:paraId="117894D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7F257F6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项目名称</w:t>
            </w:r>
          </w:p>
        </w:tc>
        <w:tc>
          <w:tcPr>
            <w:tcW w:w="6092" w:type="dxa"/>
            <w:tcBorders>
              <w:top w:val="single" w:color="auto" w:sz="4" w:space="0"/>
              <w:left w:val="single" w:color="auto" w:sz="4" w:space="0"/>
              <w:bottom w:val="single" w:color="auto" w:sz="4" w:space="0"/>
              <w:right w:val="single" w:color="auto" w:sz="4" w:space="0"/>
            </w:tcBorders>
            <w:vAlign w:val="center"/>
          </w:tcPr>
          <w:p w14:paraId="17CB6CBB">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重庆财经学院</w:t>
            </w:r>
            <w:r>
              <w:rPr>
                <w:rFonts w:hint="eastAsia" w:ascii="Times New Roman" w:hAnsi="Times New Roman" w:eastAsia="方正仿宋_GBK" w:cs="Times New Roman"/>
                <w:sz w:val="28"/>
                <w:szCs w:val="28"/>
                <w:highlight w:val="none"/>
                <w:lang w:eastAsia="zh-CN"/>
              </w:rPr>
              <w:t>中央空调采购项目</w:t>
            </w:r>
          </w:p>
        </w:tc>
      </w:tr>
      <w:tr w14:paraId="61DA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EC9A3E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1.1.2</w:t>
            </w:r>
          </w:p>
        </w:tc>
        <w:tc>
          <w:tcPr>
            <w:tcW w:w="1515" w:type="dxa"/>
            <w:tcBorders>
              <w:top w:val="single" w:color="auto" w:sz="4" w:space="0"/>
              <w:left w:val="single" w:color="auto" w:sz="4" w:space="0"/>
              <w:bottom w:val="single" w:color="auto" w:sz="4" w:space="0"/>
              <w:right w:val="single" w:color="auto" w:sz="4" w:space="0"/>
            </w:tcBorders>
            <w:vAlign w:val="center"/>
          </w:tcPr>
          <w:p w14:paraId="397EB04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招标人</w:t>
            </w:r>
          </w:p>
        </w:tc>
        <w:tc>
          <w:tcPr>
            <w:tcW w:w="6092" w:type="dxa"/>
            <w:tcBorders>
              <w:top w:val="single" w:color="auto" w:sz="4" w:space="0"/>
              <w:left w:val="single" w:color="auto" w:sz="4" w:space="0"/>
              <w:bottom w:val="single" w:color="auto" w:sz="4" w:space="0"/>
              <w:right w:val="single" w:color="auto" w:sz="4" w:space="0"/>
            </w:tcBorders>
            <w:vAlign w:val="center"/>
          </w:tcPr>
          <w:p w14:paraId="5FC6E4B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单位名称：重庆财经学院</w:t>
            </w:r>
          </w:p>
          <w:p w14:paraId="1A73974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地   址：重庆市巴南区龙洲湾尚文大道906号</w:t>
            </w:r>
          </w:p>
          <w:p w14:paraId="0317F5C9">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联系人：</w:t>
            </w:r>
            <w:r>
              <w:rPr>
                <w:rFonts w:hint="eastAsia" w:ascii="Times New Roman" w:hAnsi="Times New Roman" w:eastAsia="方正仿宋_GBK" w:cs="Times New Roman"/>
                <w:sz w:val="28"/>
                <w:szCs w:val="28"/>
                <w:highlight w:val="none"/>
                <w:lang w:val="en-US" w:eastAsia="zh-CN"/>
              </w:rPr>
              <w:t>朱</w:t>
            </w:r>
            <w:r>
              <w:rPr>
                <w:rFonts w:ascii="Times New Roman" w:hAnsi="Times New Roman" w:eastAsia="方正仿宋_GBK" w:cs="Times New Roman"/>
                <w:sz w:val="28"/>
                <w:szCs w:val="28"/>
                <w:highlight w:val="none"/>
              </w:rPr>
              <w:t xml:space="preserve">老师  </w:t>
            </w:r>
          </w:p>
          <w:p w14:paraId="7A7DAD69">
            <w:pPr>
              <w:spacing w:line="400" w:lineRule="exact"/>
              <w:rPr>
                <w:rFonts w:hint="default" w:ascii="Times New Roman" w:hAnsi="Times New Roman" w:eastAsia="方正仿宋_GBK" w:cs="Times New Roman"/>
                <w:sz w:val="28"/>
                <w:szCs w:val="28"/>
                <w:highlight w:val="none"/>
                <w:lang w:val="en-US" w:eastAsia="zh-CN"/>
              </w:rPr>
            </w:pPr>
            <w:r>
              <w:rPr>
                <w:rFonts w:ascii="Times New Roman" w:hAnsi="Times New Roman" w:eastAsia="方正仿宋_GBK" w:cs="Times New Roman"/>
                <w:sz w:val="28"/>
                <w:szCs w:val="28"/>
                <w:highlight w:val="none"/>
              </w:rPr>
              <w:t>电   话：88968</w:t>
            </w:r>
            <w:r>
              <w:rPr>
                <w:rFonts w:hint="eastAsia" w:ascii="Times New Roman" w:hAnsi="Times New Roman" w:eastAsia="方正仿宋_GBK" w:cs="Times New Roman"/>
                <w:sz w:val="28"/>
                <w:szCs w:val="28"/>
                <w:highlight w:val="none"/>
                <w:lang w:val="en-US" w:eastAsia="zh-CN"/>
              </w:rPr>
              <w:t>736</w:t>
            </w:r>
          </w:p>
        </w:tc>
      </w:tr>
      <w:tr w14:paraId="1471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A5DA92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1.2.1</w:t>
            </w:r>
          </w:p>
        </w:tc>
        <w:tc>
          <w:tcPr>
            <w:tcW w:w="1515" w:type="dxa"/>
            <w:tcBorders>
              <w:top w:val="single" w:color="auto" w:sz="4" w:space="0"/>
              <w:left w:val="single" w:color="auto" w:sz="4" w:space="0"/>
              <w:bottom w:val="single" w:color="auto" w:sz="4" w:space="0"/>
              <w:right w:val="single" w:color="auto" w:sz="4" w:space="0"/>
            </w:tcBorders>
            <w:vAlign w:val="center"/>
          </w:tcPr>
          <w:p w14:paraId="2C3E56F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资金来源</w:t>
            </w:r>
          </w:p>
        </w:tc>
        <w:tc>
          <w:tcPr>
            <w:tcW w:w="6092" w:type="dxa"/>
            <w:tcBorders>
              <w:top w:val="single" w:color="auto" w:sz="4" w:space="0"/>
              <w:left w:val="single" w:color="auto" w:sz="4" w:space="0"/>
              <w:bottom w:val="single" w:color="auto" w:sz="4" w:space="0"/>
              <w:right w:val="single" w:color="auto" w:sz="4" w:space="0"/>
            </w:tcBorders>
            <w:vAlign w:val="center"/>
          </w:tcPr>
          <w:p w14:paraId="1295AC96">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招标人自筹</w:t>
            </w:r>
          </w:p>
        </w:tc>
      </w:tr>
      <w:tr w14:paraId="6D1A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DEA66A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1.3.1</w:t>
            </w:r>
          </w:p>
        </w:tc>
        <w:tc>
          <w:tcPr>
            <w:tcW w:w="1515" w:type="dxa"/>
            <w:tcBorders>
              <w:top w:val="single" w:color="auto" w:sz="4" w:space="0"/>
              <w:left w:val="single" w:color="auto" w:sz="4" w:space="0"/>
              <w:bottom w:val="single" w:color="auto" w:sz="4" w:space="0"/>
              <w:right w:val="single" w:color="auto" w:sz="4" w:space="0"/>
            </w:tcBorders>
            <w:vAlign w:val="center"/>
          </w:tcPr>
          <w:p w14:paraId="6341730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招标范围</w:t>
            </w:r>
          </w:p>
        </w:tc>
        <w:tc>
          <w:tcPr>
            <w:tcW w:w="6092" w:type="dxa"/>
            <w:tcBorders>
              <w:top w:val="single" w:color="auto" w:sz="4" w:space="0"/>
              <w:left w:val="single" w:color="auto" w:sz="4" w:space="0"/>
              <w:bottom w:val="single" w:color="auto" w:sz="4" w:space="0"/>
              <w:right w:val="single" w:color="auto" w:sz="4" w:space="0"/>
            </w:tcBorders>
            <w:vAlign w:val="center"/>
          </w:tcPr>
          <w:p w14:paraId="6B793979">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详见招标文件第三章 </w:t>
            </w:r>
            <w:r>
              <w:rPr>
                <w:rFonts w:hint="eastAsia" w:ascii="Times New Roman" w:hAnsi="Times New Roman" w:eastAsia="方正仿宋_GBK" w:cs="Times New Roman"/>
                <w:sz w:val="28"/>
                <w:szCs w:val="28"/>
                <w:highlight w:val="none"/>
              </w:rPr>
              <w:t>招标数量及参数要求</w:t>
            </w:r>
          </w:p>
        </w:tc>
      </w:tr>
      <w:tr w14:paraId="116D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65" w:type="dxa"/>
            <w:tcBorders>
              <w:top w:val="single" w:color="auto" w:sz="4" w:space="0"/>
              <w:left w:val="single" w:color="auto" w:sz="4" w:space="0"/>
              <w:bottom w:val="single" w:color="auto" w:sz="4" w:space="0"/>
              <w:right w:val="single" w:color="auto" w:sz="4" w:space="0"/>
            </w:tcBorders>
            <w:vAlign w:val="center"/>
          </w:tcPr>
          <w:p w14:paraId="0E1CAD9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1.3.2</w:t>
            </w:r>
          </w:p>
        </w:tc>
        <w:tc>
          <w:tcPr>
            <w:tcW w:w="1515" w:type="dxa"/>
            <w:tcBorders>
              <w:top w:val="single" w:color="auto" w:sz="4" w:space="0"/>
              <w:left w:val="single" w:color="auto" w:sz="4" w:space="0"/>
              <w:bottom w:val="single" w:color="auto" w:sz="4" w:space="0"/>
              <w:right w:val="single" w:color="auto" w:sz="4" w:space="0"/>
            </w:tcBorders>
            <w:vAlign w:val="center"/>
          </w:tcPr>
          <w:p w14:paraId="104DD2D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交货方式</w:t>
            </w:r>
          </w:p>
          <w:p w14:paraId="04106DD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交货时间</w:t>
            </w:r>
          </w:p>
        </w:tc>
        <w:tc>
          <w:tcPr>
            <w:tcW w:w="6092" w:type="dxa"/>
            <w:tcBorders>
              <w:top w:val="single" w:color="auto" w:sz="4" w:space="0"/>
              <w:left w:val="single" w:color="auto" w:sz="4" w:space="0"/>
              <w:bottom w:val="single" w:color="auto" w:sz="4" w:space="0"/>
              <w:right w:val="single" w:color="auto" w:sz="4" w:space="0"/>
            </w:tcBorders>
            <w:vAlign w:val="center"/>
          </w:tcPr>
          <w:p w14:paraId="14166C17">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1.交货方式：重庆财经学院指定位置。</w:t>
            </w:r>
          </w:p>
          <w:p w14:paraId="12146814">
            <w:pPr>
              <w:spacing w:line="400" w:lineRule="exact"/>
              <w:rPr>
                <w:rFonts w:hint="eastAsia" w:ascii="Times New Roman" w:hAnsi="Times New Roman" w:eastAsia="方正仿宋_GBK" w:cs="Times New Roman"/>
                <w:color w:val="auto"/>
                <w:sz w:val="28"/>
                <w:szCs w:val="28"/>
                <w:highlight w:val="none"/>
                <w:lang w:val="en-US" w:eastAsia="zh-CN"/>
              </w:rPr>
            </w:pPr>
            <w:r>
              <w:rPr>
                <w:rFonts w:ascii="Times New Roman" w:hAnsi="Times New Roman" w:eastAsia="方正仿宋_GBK" w:cs="Times New Roman"/>
                <w:color w:val="auto"/>
                <w:sz w:val="28"/>
                <w:szCs w:val="28"/>
                <w:highlight w:val="none"/>
              </w:rPr>
              <w:t>2.交货时间：</w:t>
            </w:r>
            <w:r>
              <w:rPr>
                <w:rFonts w:hint="eastAsia" w:ascii="Times New Roman" w:hAnsi="Times New Roman" w:eastAsia="方正仿宋_GBK" w:cs="Times New Roman"/>
                <w:color w:val="auto"/>
                <w:sz w:val="28"/>
                <w:szCs w:val="28"/>
                <w:highlight w:val="none"/>
                <w:lang w:val="en-US" w:eastAsia="zh-CN"/>
              </w:rPr>
              <w:t>合同签订后一个月内，完成本项目全部安装调试。</w:t>
            </w:r>
          </w:p>
        </w:tc>
      </w:tr>
      <w:tr w14:paraId="6B83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865" w:type="dxa"/>
            <w:tcBorders>
              <w:top w:val="single" w:color="auto" w:sz="4" w:space="0"/>
              <w:left w:val="single" w:color="auto" w:sz="4" w:space="0"/>
              <w:bottom w:val="single" w:color="auto" w:sz="4" w:space="0"/>
              <w:right w:val="single" w:color="auto" w:sz="4" w:space="0"/>
            </w:tcBorders>
            <w:vAlign w:val="center"/>
          </w:tcPr>
          <w:p w14:paraId="1EABE2F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1.3.3</w:t>
            </w:r>
          </w:p>
        </w:tc>
        <w:tc>
          <w:tcPr>
            <w:tcW w:w="1515" w:type="dxa"/>
            <w:tcBorders>
              <w:top w:val="single" w:color="auto" w:sz="4" w:space="0"/>
              <w:left w:val="single" w:color="auto" w:sz="4" w:space="0"/>
              <w:bottom w:val="single" w:color="auto" w:sz="4" w:space="0"/>
              <w:right w:val="single" w:color="auto" w:sz="4" w:space="0"/>
            </w:tcBorders>
            <w:vAlign w:val="center"/>
          </w:tcPr>
          <w:p w14:paraId="4670B60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color w:val="auto"/>
                <w:sz w:val="28"/>
                <w:szCs w:val="28"/>
                <w:highlight w:val="none"/>
              </w:rPr>
              <w:t>伴随服务要求</w:t>
            </w:r>
          </w:p>
        </w:tc>
        <w:tc>
          <w:tcPr>
            <w:tcW w:w="6092" w:type="dxa"/>
            <w:tcBorders>
              <w:top w:val="single" w:color="auto" w:sz="4" w:space="0"/>
              <w:left w:val="single" w:color="auto" w:sz="4" w:space="0"/>
              <w:bottom w:val="single" w:color="auto" w:sz="4" w:space="0"/>
              <w:right w:val="single" w:color="auto" w:sz="4" w:space="0"/>
            </w:tcBorders>
            <w:vAlign w:val="center"/>
          </w:tcPr>
          <w:p w14:paraId="686FF349">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1.附件、图纸及包装要求：所有设备按照制造商规定的产品包装和随机标准附件为准。</w:t>
            </w:r>
          </w:p>
          <w:p w14:paraId="062D3842">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2.‌技术文件提交‌：提供中文技术文件，包括但不限于操作手册；技术、维护指南；使用说明视频资料及电子版资料等。</w:t>
            </w:r>
          </w:p>
          <w:p w14:paraId="3B1263FA">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3.‌现场支持‌：包括设备安装、调试、启动监督及故障排除。</w:t>
            </w:r>
          </w:p>
          <w:p w14:paraId="37142345">
            <w:p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4.‌专用工具与备件‌：提供安装、维修所需的专用工具及随机备品备件。</w:t>
            </w:r>
          </w:p>
        </w:tc>
      </w:tr>
      <w:tr w14:paraId="7C50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3E05FC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1.3.4</w:t>
            </w:r>
          </w:p>
        </w:tc>
        <w:tc>
          <w:tcPr>
            <w:tcW w:w="1515" w:type="dxa"/>
            <w:tcBorders>
              <w:top w:val="single" w:color="auto" w:sz="4" w:space="0"/>
              <w:left w:val="single" w:color="auto" w:sz="4" w:space="0"/>
              <w:bottom w:val="single" w:color="auto" w:sz="4" w:space="0"/>
              <w:right w:val="single" w:color="auto" w:sz="4" w:space="0"/>
            </w:tcBorders>
            <w:vAlign w:val="center"/>
          </w:tcPr>
          <w:p w14:paraId="70FE6DA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质量保证期</w:t>
            </w:r>
          </w:p>
        </w:tc>
        <w:tc>
          <w:tcPr>
            <w:tcW w:w="6092" w:type="dxa"/>
            <w:tcBorders>
              <w:top w:val="single" w:color="auto" w:sz="4" w:space="0"/>
              <w:left w:val="single" w:color="auto" w:sz="4" w:space="0"/>
              <w:bottom w:val="single" w:color="auto" w:sz="4" w:space="0"/>
              <w:right w:val="single" w:color="auto" w:sz="4" w:space="0"/>
            </w:tcBorders>
            <w:vAlign w:val="center"/>
          </w:tcPr>
          <w:p w14:paraId="5513CC3C">
            <w:pPr>
              <w:numPr>
                <w:ilvl w:val="0"/>
                <w:numId w:val="0"/>
              </w:num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供方提供的商品是全新、未用过的，经由第三方质检部门认定,符合国家相应行业标准，供方的质量保证及售后服务承诺如下：</w:t>
            </w:r>
          </w:p>
          <w:p w14:paraId="0437D992">
            <w:pPr>
              <w:numPr>
                <w:ilvl w:val="0"/>
                <w:numId w:val="0"/>
              </w:numPr>
              <w:spacing w:line="400" w:lineRule="exact"/>
              <w:ind w:leftChars="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1.质保期限：3年；</w:t>
            </w:r>
          </w:p>
          <w:p w14:paraId="2FC85F61">
            <w:pPr>
              <w:numPr>
                <w:ilvl w:val="0"/>
                <w:numId w:val="0"/>
              </w:numPr>
              <w:spacing w:line="400" w:lineRule="exact"/>
              <w:ind w:leftChars="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2.保修范围：（1）从竣工验收合格之日起计算，设备免费保修三年；（2）辅助材料免费保修一个采暖季，使用过程人为损坏不在保修范围内。</w:t>
            </w:r>
          </w:p>
          <w:p w14:paraId="37272E6F">
            <w:pPr>
              <w:numPr>
                <w:ilvl w:val="0"/>
                <w:numId w:val="0"/>
              </w:numPr>
              <w:spacing w:line="400" w:lineRule="exact"/>
              <w:ind w:leftChars="0"/>
              <w:rPr>
                <w:rFonts w:hint="default" w:ascii="Times New Roman" w:hAnsi="Times New Roman" w:eastAsia="方正仿宋_GBK" w:cs="Times New Roman"/>
                <w:color w:val="auto"/>
                <w:sz w:val="28"/>
                <w:szCs w:val="28"/>
                <w:highlight w:val="none"/>
                <w:lang w:eastAsia="zh-CN"/>
                <w:woUserID w:val="1"/>
              </w:rPr>
            </w:pPr>
            <w:r>
              <w:rPr>
                <w:rFonts w:hint="default" w:ascii="Times New Roman" w:hAnsi="Times New Roman" w:eastAsia="方正仿宋_GBK" w:cs="Times New Roman"/>
                <w:color w:val="auto"/>
                <w:sz w:val="28"/>
                <w:szCs w:val="28"/>
                <w:highlight w:val="none"/>
                <w:lang w:eastAsia="zh-CN"/>
                <w:woUserID w:val="1"/>
              </w:rPr>
              <w:t>3.质保期后，中标方仍为本项目提供维修服务，涉及到的费用按成本价收取。</w:t>
            </w:r>
          </w:p>
        </w:tc>
      </w:tr>
      <w:tr w14:paraId="2AE8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65" w:type="dxa"/>
            <w:tcBorders>
              <w:top w:val="single" w:color="auto" w:sz="4" w:space="0"/>
              <w:left w:val="single" w:color="auto" w:sz="4" w:space="0"/>
              <w:bottom w:val="single" w:color="auto" w:sz="4" w:space="0"/>
              <w:right w:val="single" w:color="auto" w:sz="4" w:space="0"/>
            </w:tcBorders>
            <w:vAlign w:val="center"/>
          </w:tcPr>
          <w:p w14:paraId="72BFF5A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1.3.5</w:t>
            </w:r>
          </w:p>
        </w:tc>
        <w:tc>
          <w:tcPr>
            <w:tcW w:w="1515" w:type="dxa"/>
            <w:tcBorders>
              <w:top w:val="single" w:color="auto" w:sz="4" w:space="0"/>
              <w:left w:val="single" w:color="auto" w:sz="4" w:space="0"/>
              <w:bottom w:val="single" w:color="auto" w:sz="4" w:space="0"/>
              <w:right w:val="single" w:color="auto" w:sz="4" w:space="0"/>
            </w:tcBorders>
            <w:vAlign w:val="center"/>
          </w:tcPr>
          <w:p w14:paraId="56D61006">
            <w:pPr>
              <w:spacing w:line="400" w:lineRule="exact"/>
              <w:jc w:val="center"/>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参数</w:t>
            </w:r>
            <w:r>
              <w:rPr>
                <w:rFonts w:ascii="Times New Roman" w:hAnsi="Times New Roman" w:eastAsia="方正仿宋_GBK" w:cs="Times New Roman"/>
                <w:sz w:val="28"/>
                <w:szCs w:val="28"/>
                <w:highlight w:val="none"/>
              </w:rPr>
              <w:t>要求</w:t>
            </w:r>
          </w:p>
        </w:tc>
        <w:tc>
          <w:tcPr>
            <w:tcW w:w="6092" w:type="dxa"/>
            <w:tcBorders>
              <w:top w:val="single" w:color="auto" w:sz="4" w:space="0"/>
              <w:left w:val="single" w:color="auto" w:sz="4" w:space="0"/>
              <w:bottom w:val="single" w:color="auto" w:sz="4" w:space="0"/>
              <w:right w:val="single" w:color="auto" w:sz="4" w:space="0"/>
            </w:tcBorders>
            <w:vAlign w:val="center"/>
          </w:tcPr>
          <w:p w14:paraId="773C09EA">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详见第三章</w:t>
            </w:r>
          </w:p>
        </w:tc>
      </w:tr>
      <w:tr w14:paraId="643B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21F91E1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1.3.6</w:t>
            </w:r>
          </w:p>
        </w:tc>
        <w:tc>
          <w:tcPr>
            <w:tcW w:w="1515" w:type="dxa"/>
            <w:tcBorders>
              <w:top w:val="single" w:color="auto" w:sz="4" w:space="0"/>
              <w:left w:val="single" w:color="auto" w:sz="4" w:space="0"/>
              <w:bottom w:val="single" w:color="auto" w:sz="4" w:space="0"/>
              <w:right w:val="single" w:color="auto" w:sz="4" w:space="0"/>
            </w:tcBorders>
            <w:vAlign w:val="center"/>
          </w:tcPr>
          <w:p w14:paraId="19D7D3B7">
            <w:pPr>
              <w:widowControl/>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售后服务</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center"/>
          </w:tcPr>
          <w:p w14:paraId="06B1F097">
            <w:pPr>
              <w:numPr>
                <w:ilvl w:val="0"/>
                <w:numId w:val="0"/>
              </w:numPr>
              <w:spacing w:line="400" w:lineRule="exact"/>
              <w:rPr>
                <w:rFonts w:hint="default" w:ascii="Times New Roman" w:hAnsi="Times New Roman" w:eastAsia="方正仿宋_GBK" w:cs="Times New Roman"/>
                <w:color w:val="0000FF"/>
                <w:sz w:val="28"/>
                <w:szCs w:val="28"/>
                <w:highlight w:val="none"/>
                <w:lang w:val="en-US" w:eastAsia="zh-CN"/>
              </w:rPr>
            </w:pPr>
            <w:r>
              <w:rPr>
                <w:rFonts w:hint="eastAsia" w:ascii="Times New Roman" w:hAnsi="Times New Roman" w:eastAsia="方正仿宋_GBK" w:cs="Times New Roman"/>
                <w:sz w:val="28"/>
                <w:szCs w:val="28"/>
                <w:highlight w:val="none"/>
              </w:rPr>
              <w:t>设备的故障排除、使用技术咨询等。中标方在质保期内，接到招标方故障通知后应在24小时内指导或到场解决</w:t>
            </w:r>
            <w:r>
              <w:rPr>
                <w:rFonts w:hint="eastAsia" w:ascii="Times New Roman" w:hAnsi="Times New Roman" w:eastAsia="方正仿宋_GBK" w:cs="Times New Roman"/>
                <w:sz w:val="28"/>
                <w:szCs w:val="28"/>
                <w:highlight w:val="none"/>
                <w:u w:val="none"/>
                <w:lang w:eastAsia="zh-CN"/>
              </w:rPr>
              <w:t>，</w:t>
            </w:r>
            <w:r>
              <w:rPr>
                <w:rFonts w:hint="eastAsia" w:ascii="Times New Roman" w:hAnsi="Times New Roman" w:eastAsia="方正仿宋_GBK" w:cs="Times New Roman"/>
                <w:color w:val="auto"/>
                <w:sz w:val="28"/>
                <w:szCs w:val="28"/>
                <w:highlight w:val="none"/>
                <w:u w:val="none"/>
                <w:lang w:eastAsia="zh-CN"/>
              </w:rPr>
              <w:t>小</w:t>
            </w:r>
            <w:r>
              <w:rPr>
                <w:rFonts w:hint="eastAsia" w:ascii="Times New Roman" w:hAnsi="Times New Roman" w:eastAsia="方正仿宋_GBK" w:cs="Times New Roman"/>
                <w:color w:val="auto"/>
                <w:sz w:val="28"/>
                <w:szCs w:val="28"/>
                <w:highlight w:val="none"/>
                <w:u w:val="none"/>
              </w:rPr>
              <w:t>故障</w:t>
            </w:r>
            <w:r>
              <w:rPr>
                <w:rFonts w:hint="eastAsia" w:ascii="Times New Roman" w:hAnsi="Times New Roman" w:eastAsia="方正仿宋_GBK" w:cs="Times New Roman"/>
                <w:color w:val="auto"/>
                <w:sz w:val="28"/>
                <w:szCs w:val="28"/>
                <w:highlight w:val="none"/>
                <w:u w:val="none"/>
                <w:lang w:val="en-US" w:eastAsia="zh-CN"/>
              </w:rPr>
              <w:t>并于24小时内修复达到正常使用状态，大</w:t>
            </w:r>
            <w:r>
              <w:rPr>
                <w:rFonts w:hint="eastAsia" w:ascii="Times New Roman" w:hAnsi="Times New Roman" w:eastAsia="方正仿宋_GBK" w:cs="Times New Roman"/>
                <w:color w:val="auto"/>
                <w:sz w:val="28"/>
                <w:szCs w:val="28"/>
                <w:highlight w:val="none"/>
                <w:u w:val="none"/>
              </w:rPr>
              <w:t>故障</w:t>
            </w:r>
            <w:r>
              <w:rPr>
                <w:rFonts w:hint="eastAsia" w:ascii="Times New Roman" w:hAnsi="Times New Roman" w:eastAsia="方正仿宋_GBK" w:cs="Times New Roman"/>
                <w:color w:val="auto"/>
                <w:sz w:val="28"/>
                <w:szCs w:val="28"/>
                <w:highlight w:val="none"/>
                <w:u w:val="none"/>
                <w:lang w:val="en-US" w:eastAsia="zh-CN"/>
              </w:rPr>
              <w:t>并于48~72小时内修复达到正常使用状态</w:t>
            </w:r>
            <w:r>
              <w:rPr>
                <w:rFonts w:hint="eastAsia" w:ascii="Times New Roman" w:hAnsi="Times New Roman" w:eastAsia="方正仿宋_GBK" w:cs="Times New Roman"/>
                <w:sz w:val="28"/>
                <w:szCs w:val="28"/>
                <w:highlight w:val="none"/>
                <w:u w:val="none"/>
              </w:rPr>
              <w:t>。</w:t>
            </w:r>
          </w:p>
        </w:tc>
      </w:tr>
      <w:tr w14:paraId="4587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865" w:type="dxa"/>
            <w:tcBorders>
              <w:top w:val="single" w:color="auto" w:sz="4" w:space="0"/>
              <w:left w:val="single" w:color="auto" w:sz="4" w:space="0"/>
              <w:bottom w:val="single" w:color="auto" w:sz="4" w:space="0"/>
              <w:right w:val="single" w:color="auto" w:sz="4" w:space="0"/>
            </w:tcBorders>
            <w:vAlign w:val="center"/>
          </w:tcPr>
          <w:p w14:paraId="4388E35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1.3.7</w:t>
            </w:r>
          </w:p>
        </w:tc>
        <w:tc>
          <w:tcPr>
            <w:tcW w:w="1515" w:type="dxa"/>
            <w:tcBorders>
              <w:top w:val="single" w:color="auto" w:sz="4" w:space="0"/>
              <w:left w:val="single" w:color="auto" w:sz="4" w:space="0"/>
              <w:bottom w:val="single" w:color="auto" w:sz="4" w:space="0"/>
              <w:right w:val="single" w:color="auto" w:sz="4" w:space="0"/>
            </w:tcBorders>
            <w:vAlign w:val="center"/>
          </w:tcPr>
          <w:p w14:paraId="6173383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项目验收</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top"/>
          </w:tcPr>
          <w:p w14:paraId="240CFA9E">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rPr>
              <w:t>所有设备安装调试完毕，</w:t>
            </w:r>
            <w:r>
              <w:rPr>
                <w:rFonts w:hint="eastAsia" w:ascii="Times New Roman" w:hAnsi="Times New Roman" w:eastAsia="方正仿宋_GBK" w:cs="Times New Roman"/>
                <w:sz w:val="28"/>
                <w:szCs w:val="28"/>
                <w:lang w:val="en-US" w:eastAsia="zh-CN"/>
              </w:rPr>
              <w:t>需要试运行30天再组织验收，</w:t>
            </w:r>
            <w:r>
              <w:rPr>
                <w:rFonts w:hint="eastAsia" w:ascii="Times New Roman" w:hAnsi="Times New Roman" w:eastAsia="方正仿宋_GBK" w:cs="Times New Roman"/>
                <w:sz w:val="28"/>
                <w:szCs w:val="28"/>
              </w:rPr>
              <w:t>并完成合同工作内容后，招标方组织相关部门，按招标文件和合同附件中的要求，对项目进行验收（空调正常制冷制热）。凡验收不合格的设备，中标方必须在三天之内更换合格产品进行替换；凡影响正常使用等情况，中标方必须及时组织工人重新调整；若中标方在安装过程中，损坏了招标方的地面和墙面等现场，由中标方负责修复或赔偿。</w:t>
            </w:r>
          </w:p>
        </w:tc>
      </w:tr>
      <w:tr w14:paraId="6549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C8E76F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1.4.1</w:t>
            </w:r>
          </w:p>
        </w:tc>
        <w:tc>
          <w:tcPr>
            <w:tcW w:w="1515" w:type="dxa"/>
            <w:tcBorders>
              <w:top w:val="single" w:color="auto" w:sz="4" w:space="0"/>
              <w:left w:val="single" w:color="auto" w:sz="4" w:space="0"/>
              <w:bottom w:val="single" w:color="auto" w:sz="4" w:space="0"/>
              <w:right w:val="single" w:color="auto" w:sz="4" w:space="0"/>
            </w:tcBorders>
            <w:vAlign w:val="center"/>
          </w:tcPr>
          <w:p w14:paraId="7905A83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投标人资质条件、能力和信誉</w:t>
            </w:r>
          </w:p>
        </w:tc>
        <w:tc>
          <w:tcPr>
            <w:tcW w:w="6092" w:type="dxa"/>
            <w:tcBorders>
              <w:top w:val="single" w:color="auto" w:sz="4" w:space="0"/>
              <w:left w:val="single" w:color="auto" w:sz="4" w:space="0"/>
              <w:bottom w:val="single" w:color="auto" w:sz="4" w:space="0"/>
              <w:right w:val="single" w:color="auto" w:sz="4" w:space="0"/>
            </w:tcBorders>
            <w:vAlign w:val="center"/>
          </w:tcPr>
          <w:p w14:paraId="399485C3">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本项目招标实行资格后审，投标人应具备以下资格条件：</w:t>
            </w:r>
          </w:p>
          <w:p w14:paraId="6BDFABDE">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1．投标人具有独立承担民事责任的能力，需提供营业执照等证明文件；</w:t>
            </w:r>
          </w:p>
          <w:p w14:paraId="230B65D9">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2．投标人具有良好的商业信誉和健全的财务会计制度，需提供近三年的年度财务报表；</w:t>
            </w:r>
          </w:p>
          <w:p w14:paraId="611800D2">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3．投标人具有依法缴纳税收和社会保障资金的良好记录；</w:t>
            </w:r>
          </w:p>
          <w:p w14:paraId="4F6B7C1D">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4．投标人具有履行合同所必需的专业技术能力；</w:t>
            </w:r>
          </w:p>
          <w:p w14:paraId="2849ECDB">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5．投标人参加政府采购活动前三年内，没有骗取中标行为，无不正当理由放弃中标（成交）行为，未进行过恶意投诉，在经营活动中没有违法、违规记录；</w:t>
            </w:r>
          </w:p>
          <w:p w14:paraId="270E623B">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6．投标方需提供2023年1月1日以来由投标人签署的学校相关项目合同复印件（单个合同金额至少</w:t>
            </w:r>
            <w:r>
              <w:rPr>
                <w:rFonts w:hint="eastAsia" w:ascii="Times New Roman" w:hAnsi="Times New Roman" w:eastAsia="方正仿宋_GBK" w:cs="Times New Roman"/>
                <w:sz w:val="28"/>
                <w:szCs w:val="28"/>
                <w:highlight w:val="none"/>
                <w:u w:val="single"/>
                <w:lang w:val="en-US" w:eastAsia="zh-CN"/>
              </w:rPr>
              <w:t>100万</w:t>
            </w:r>
            <w:r>
              <w:rPr>
                <w:rFonts w:hint="eastAsia" w:ascii="Times New Roman" w:hAnsi="Times New Roman" w:eastAsia="方正仿宋_GBK" w:cs="Times New Roman"/>
                <w:color w:val="auto"/>
                <w:sz w:val="28"/>
                <w:szCs w:val="28"/>
                <w:highlight w:val="none"/>
                <w:u w:val="single"/>
                <w:lang w:val="en-US" w:eastAsia="zh-CN"/>
              </w:rPr>
              <w:t>元</w:t>
            </w:r>
            <w:r>
              <w:rPr>
                <w:rFonts w:hint="eastAsia" w:ascii="Times New Roman" w:hAnsi="Times New Roman" w:eastAsia="方正仿宋_GBK" w:cs="Times New Roman"/>
                <w:sz w:val="28"/>
                <w:szCs w:val="28"/>
                <w:highlight w:val="none"/>
                <w:lang w:val="en-US" w:eastAsia="zh-CN"/>
              </w:rPr>
              <w:t>）及类似项目履约能力证明材料；</w:t>
            </w:r>
          </w:p>
          <w:p w14:paraId="5F2DE74D">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7．本次招标允许投标人以投标货物的下列身份参加投标：</w:t>
            </w:r>
          </w:p>
          <w:p w14:paraId="41218B84">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(1)制造商、(2)代理商（包括经销商、制造商下属销售子公司）</w:t>
            </w:r>
          </w:p>
          <w:p w14:paraId="4040BBBF">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(1)．投标人为制造商应符合以下要求：</w:t>
            </w:r>
          </w:p>
          <w:p w14:paraId="78223078">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①具备独立法人资格；</w:t>
            </w:r>
          </w:p>
          <w:p w14:paraId="56DD3806">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②具备 有效的建筑机电安装工程专业承包二级及以上资质。</w:t>
            </w:r>
          </w:p>
          <w:p w14:paraId="573BCB11">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(2)．投标人为代理商应符合以下要求：</w:t>
            </w:r>
          </w:p>
          <w:p w14:paraId="2869CE71">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①具备独立法人资格；</w:t>
            </w:r>
          </w:p>
          <w:p w14:paraId="53D427B1">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②代理商具备 有效的建筑机电安装工程专业承包二级及以上资质；</w:t>
            </w:r>
          </w:p>
          <w:p w14:paraId="6D80021A">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③ 所投空调 具有制造商针对本项目的唯一授权书。</w:t>
            </w:r>
          </w:p>
          <w:p w14:paraId="75923F51">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注：本招标项目同一标段中，一个制造商对同一品牌同一型号的货物，仅能委托一个代理商参加投标，否则各相关投标均无效；同一品牌同一型号货物的制造商和代理商不得在本招标项目同一标段中投标，否则各相关投标均无效。</w:t>
            </w:r>
          </w:p>
          <w:p w14:paraId="7DC755D8">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8.具有完善的质量保证和售后服务体系。</w:t>
            </w:r>
          </w:p>
        </w:tc>
      </w:tr>
      <w:tr w14:paraId="7BC7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65" w:type="dxa"/>
            <w:tcBorders>
              <w:top w:val="single" w:color="auto" w:sz="4" w:space="0"/>
              <w:left w:val="single" w:color="auto" w:sz="4" w:space="0"/>
              <w:bottom w:val="single" w:color="auto" w:sz="4" w:space="0"/>
              <w:right w:val="single" w:color="auto" w:sz="4" w:space="0"/>
            </w:tcBorders>
            <w:vAlign w:val="center"/>
          </w:tcPr>
          <w:p w14:paraId="141961D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1.4.2</w:t>
            </w:r>
          </w:p>
        </w:tc>
        <w:tc>
          <w:tcPr>
            <w:tcW w:w="1515" w:type="dxa"/>
            <w:tcBorders>
              <w:top w:val="single" w:color="auto" w:sz="4" w:space="0"/>
              <w:left w:val="single" w:color="auto" w:sz="4" w:space="0"/>
              <w:bottom w:val="single" w:color="auto" w:sz="4" w:space="0"/>
              <w:right w:val="single" w:color="auto" w:sz="4" w:space="0"/>
            </w:tcBorders>
            <w:vAlign w:val="center"/>
          </w:tcPr>
          <w:p w14:paraId="7847D96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是否接受联合体投标</w:t>
            </w:r>
          </w:p>
        </w:tc>
        <w:tc>
          <w:tcPr>
            <w:tcW w:w="6092" w:type="dxa"/>
            <w:tcBorders>
              <w:top w:val="single" w:color="auto" w:sz="4" w:space="0"/>
              <w:left w:val="single" w:color="auto" w:sz="4" w:space="0"/>
              <w:bottom w:val="single" w:color="auto" w:sz="4" w:space="0"/>
              <w:right w:val="single" w:color="auto" w:sz="4" w:space="0"/>
            </w:tcBorders>
            <w:vAlign w:val="center"/>
          </w:tcPr>
          <w:p w14:paraId="7CE796F2">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不接受。</w:t>
            </w:r>
          </w:p>
        </w:tc>
      </w:tr>
      <w:tr w14:paraId="1D77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545B78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1.9.1</w:t>
            </w:r>
          </w:p>
        </w:tc>
        <w:tc>
          <w:tcPr>
            <w:tcW w:w="1515" w:type="dxa"/>
            <w:tcBorders>
              <w:top w:val="single" w:color="auto" w:sz="4" w:space="0"/>
              <w:left w:val="single" w:color="auto" w:sz="4" w:space="0"/>
              <w:bottom w:val="single" w:color="auto" w:sz="4" w:space="0"/>
              <w:right w:val="single" w:color="auto" w:sz="4" w:space="0"/>
            </w:tcBorders>
            <w:vAlign w:val="center"/>
          </w:tcPr>
          <w:p w14:paraId="03B7873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踏勘现场</w:t>
            </w:r>
          </w:p>
        </w:tc>
        <w:tc>
          <w:tcPr>
            <w:tcW w:w="6092" w:type="dxa"/>
            <w:tcBorders>
              <w:top w:val="single" w:color="auto" w:sz="4" w:space="0"/>
              <w:left w:val="single" w:color="auto" w:sz="4" w:space="0"/>
              <w:bottom w:val="single" w:color="auto" w:sz="4" w:space="0"/>
              <w:right w:val="single" w:color="auto" w:sz="4" w:space="0"/>
            </w:tcBorders>
            <w:vAlign w:val="center"/>
          </w:tcPr>
          <w:p w14:paraId="23108BF4">
            <w:pPr>
              <w:tabs>
                <w:tab w:val="center" w:pos="4153"/>
                <w:tab w:val="right" w:pos="8306"/>
              </w:tabs>
              <w:snapToGrid w:val="0"/>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联系人：</w:t>
            </w:r>
            <w:r>
              <w:rPr>
                <w:rFonts w:hint="eastAsia" w:ascii="Times New Roman" w:hAnsi="Times New Roman" w:eastAsia="方正仿宋_GBK" w:cs="Times New Roman"/>
                <w:sz w:val="28"/>
                <w:szCs w:val="28"/>
                <w:highlight w:val="none"/>
                <w:lang w:eastAsia="zh-CN"/>
              </w:rPr>
              <w:t>朱</w:t>
            </w:r>
            <w:r>
              <w:rPr>
                <w:rFonts w:hint="eastAsia" w:ascii="Times New Roman" w:hAnsi="Times New Roman" w:eastAsia="方正仿宋_GBK" w:cs="Times New Roman"/>
                <w:sz w:val="28"/>
                <w:szCs w:val="28"/>
                <w:highlight w:val="none"/>
              </w:rPr>
              <w:t>老师（023-</w:t>
            </w:r>
            <w:r>
              <w:rPr>
                <w:rFonts w:hint="eastAsia" w:ascii="Times New Roman" w:hAnsi="Times New Roman" w:eastAsia="方正仿宋_GBK" w:cs="Times New Roman"/>
                <w:sz w:val="28"/>
                <w:szCs w:val="28"/>
                <w:highlight w:val="none"/>
                <w:lang w:val="en-US" w:eastAsia="zh-CN"/>
              </w:rPr>
              <w:t>88968736</w:t>
            </w:r>
            <w:r>
              <w:rPr>
                <w:rFonts w:hint="eastAsia" w:ascii="Times New Roman" w:hAnsi="Times New Roman" w:eastAsia="方正仿宋_GBK" w:cs="Times New Roman"/>
                <w:sz w:val="28"/>
                <w:szCs w:val="28"/>
                <w:highlight w:val="none"/>
              </w:rPr>
              <w:t>）</w:t>
            </w:r>
          </w:p>
        </w:tc>
      </w:tr>
      <w:tr w14:paraId="1321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DD67F5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1.10.1</w:t>
            </w:r>
          </w:p>
        </w:tc>
        <w:tc>
          <w:tcPr>
            <w:tcW w:w="1515" w:type="dxa"/>
            <w:tcBorders>
              <w:top w:val="single" w:color="auto" w:sz="4" w:space="0"/>
              <w:left w:val="single" w:color="auto" w:sz="4" w:space="0"/>
              <w:bottom w:val="single" w:color="auto" w:sz="4" w:space="0"/>
              <w:right w:val="single" w:color="auto" w:sz="4" w:space="0"/>
            </w:tcBorders>
            <w:vAlign w:val="center"/>
          </w:tcPr>
          <w:p w14:paraId="6AAAF25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投标预备会</w:t>
            </w:r>
          </w:p>
        </w:tc>
        <w:tc>
          <w:tcPr>
            <w:tcW w:w="6092" w:type="dxa"/>
            <w:tcBorders>
              <w:top w:val="single" w:color="auto" w:sz="4" w:space="0"/>
              <w:left w:val="single" w:color="auto" w:sz="4" w:space="0"/>
              <w:bottom w:val="single" w:color="auto" w:sz="4" w:space="0"/>
              <w:right w:val="single" w:color="auto" w:sz="4" w:space="0"/>
            </w:tcBorders>
            <w:vAlign w:val="center"/>
          </w:tcPr>
          <w:p w14:paraId="6693AB8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不召开</w:t>
            </w:r>
          </w:p>
        </w:tc>
      </w:tr>
      <w:tr w14:paraId="4D46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0D404D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24360E2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是否允许</w:t>
            </w:r>
          </w:p>
          <w:p w14:paraId="3E103EC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分包</w:t>
            </w:r>
          </w:p>
        </w:tc>
        <w:tc>
          <w:tcPr>
            <w:tcW w:w="6092" w:type="dxa"/>
            <w:tcBorders>
              <w:top w:val="single" w:color="auto" w:sz="4" w:space="0"/>
              <w:left w:val="single" w:color="auto" w:sz="4" w:space="0"/>
              <w:bottom w:val="single" w:color="auto" w:sz="4" w:space="0"/>
              <w:right w:val="single" w:color="auto" w:sz="4" w:space="0"/>
            </w:tcBorders>
            <w:vAlign w:val="center"/>
          </w:tcPr>
          <w:p w14:paraId="12221326">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否</w:t>
            </w:r>
          </w:p>
        </w:tc>
      </w:tr>
      <w:tr w14:paraId="014E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932534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2.1</w:t>
            </w:r>
          </w:p>
        </w:tc>
        <w:tc>
          <w:tcPr>
            <w:tcW w:w="1515" w:type="dxa"/>
            <w:tcBorders>
              <w:top w:val="single" w:color="auto" w:sz="4" w:space="0"/>
              <w:left w:val="single" w:color="auto" w:sz="4" w:space="0"/>
              <w:bottom w:val="single" w:color="auto" w:sz="4" w:space="0"/>
              <w:right w:val="single" w:color="auto" w:sz="4" w:space="0"/>
            </w:tcBorders>
            <w:vAlign w:val="center"/>
          </w:tcPr>
          <w:p w14:paraId="1F6486F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构成招标文件的其他材料</w:t>
            </w:r>
          </w:p>
        </w:tc>
        <w:tc>
          <w:tcPr>
            <w:tcW w:w="6092" w:type="dxa"/>
            <w:tcBorders>
              <w:top w:val="single" w:color="auto" w:sz="4" w:space="0"/>
              <w:left w:val="single" w:color="auto" w:sz="4" w:space="0"/>
              <w:bottom w:val="single" w:color="auto" w:sz="4" w:space="0"/>
              <w:right w:val="single" w:color="auto" w:sz="4" w:space="0"/>
            </w:tcBorders>
            <w:vAlign w:val="center"/>
          </w:tcPr>
          <w:p w14:paraId="3472072A">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招标文件</w:t>
            </w:r>
            <w:r>
              <w:rPr>
                <w:rFonts w:hint="eastAsia" w:ascii="Times New Roman" w:hAnsi="Times New Roman" w:eastAsia="方正仿宋_GBK" w:cs="Times New Roman"/>
                <w:color w:val="auto"/>
                <w:sz w:val="28"/>
                <w:szCs w:val="28"/>
                <w:highlight w:val="none"/>
                <w:lang w:val="en-US" w:eastAsia="zh-CN"/>
              </w:rPr>
              <w:t>需修改或根据投标人提出的问题进行修改、澄清或答疑，招标人将在网上发出补遗通知，请投标人自行查阅和下载。</w:t>
            </w:r>
          </w:p>
        </w:tc>
      </w:tr>
      <w:tr w14:paraId="6B9A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C3805D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2.2.1</w:t>
            </w:r>
          </w:p>
        </w:tc>
        <w:tc>
          <w:tcPr>
            <w:tcW w:w="1515" w:type="dxa"/>
            <w:tcBorders>
              <w:top w:val="single" w:color="auto" w:sz="4" w:space="0"/>
              <w:left w:val="single" w:color="auto" w:sz="4" w:space="0"/>
              <w:bottom w:val="single" w:color="auto" w:sz="4" w:space="0"/>
              <w:right w:val="single" w:color="auto" w:sz="4" w:space="0"/>
            </w:tcBorders>
            <w:vAlign w:val="center"/>
          </w:tcPr>
          <w:p w14:paraId="3285219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对招标文件的疑问</w:t>
            </w:r>
          </w:p>
        </w:tc>
        <w:tc>
          <w:tcPr>
            <w:tcW w:w="6092" w:type="dxa"/>
            <w:tcBorders>
              <w:top w:val="single" w:color="auto" w:sz="4" w:space="0"/>
              <w:left w:val="single" w:color="auto" w:sz="4" w:space="0"/>
              <w:bottom w:val="single" w:color="auto" w:sz="4" w:space="0"/>
              <w:right w:val="single" w:color="auto" w:sz="4" w:space="0"/>
            </w:tcBorders>
            <w:vAlign w:val="center"/>
          </w:tcPr>
          <w:p w14:paraId="307B562B">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1.参与本项目的投标人对招标文件如有疑问的，应在规定时间内电话联系023-88968736，以书面形式提交质疑函并附上必要的证明材料。如在规定时间内没有提出疑问，视为完全理解并接受招标文件的所有内容</w:t>
            </w:r>
            <w:r>
              <w:rPr>
                <w:rFonts w:ascii="Times New Roman" w:hAnsi="Times New Roman" w:eastAsia="方正仿宋_GBK" w:cs="Times New Roman"/>
                <w:color w:val="auto"/>
                <w:sz w:val="28"/>
                <w:szCs w:val="28"/>
                <w:highlight w:val="none"/>
              </w:rPr>
              <w:t>。</w:t>
            </w:r>
          </w:p>
          <w:p w14:paraId="7AE70B68">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2.提出</w:t>
            </w:r>
            <w:r>
              <w:rPr>
                <w:rFonts w:hint="eastAsia" w:ascii="Times New Roman" w:hAnsi="Times New Roman" w:eastAsia="方正仿宋_GBK" w:cs="Times New Roman"/>
                <w:color w:val="auto"/>
                <w:sz w:val="28"/>
                <w:szCs w:val="28"/>
                <w:highlight w:val="none"/>
                <w:lang w:val="en-US" w:eastAsia="zh-CN"/>
              </w:rPr>
              <w:t>疑问</w:t>
            </w:r>
            <w:r>
              <w:rPr>
                <w:rFonts w:hint="eastAsia" w:ascii="Times New Roman" w:hAnsi="Times New Roman" w:eastAsia="方正仿宋_GBK" w:cs="Times New Roman"/>
                <w:color w:val="auto"/>
                <w:sz w:val="28"/>
                <w:szCs w:val="28"/>
                <w:highlight w:val="none"/>
                <w:lang w:eastAsia="zh-CN"/>
              </w:rPr>
              <w:t>的</w:t>
            </w:r>
            <w:r>
              <w:rPr>
                <w:rFonts w:hint="eastAsia" w:ascii="Times New Roman" w:hAnsi="Times New Roman" w:eastAsia="方正仿宋_GBK" w:cs="Times New Roman"/>
                <w:color w:val="auto"/>
                <w:sz w:val="28"/>
                <w:szCs w:val="28"/>
                <w:highlight w:val="none"/>
                <w:lang w:val="en-US" w:eastAsia="zh-CN"/>
              </w:rPr>
              <w:t>时间</w:t>
            </w:r>
            <w:r>
              <w:rPr>
                <w:rFonts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2026年5月15日</w:t>
            </w:r>
          </w:p>
        </w:tc>
      </w:tr>
      <w:tr w14:paraId="2C06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19B2DB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2.3</w:t>
            </w:r>
          </w:p>
        </w:tc>
        <w:tc>
          <w:tcPr>
            <w:tcW w:w="1515" w:type="dxa"/>
            <w:tcBorders>
              <w:top w:val="single" w:color="auto" w:sz="4" w:space="0"/>
              <w:left w:val="single" w:color="auto" w:sz="4" w:space="0"/>
              <w:bottom w:val="single" w:color="auto" w:sz="4" w:space="0"/>
              <w:right w:val="single" w:color="auto" w:sz="4" w:space="0"/>
            </w:tcBorders>
            <w:vAlign w:val="center"/>
          </w:tcPr>
          <w:p w14:paraId="2762448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招标文件的澄清、修改和答疑</w:t>
            </w:r>
          </w:p>
        </w:tc>
        <w:tc>
          <w:tcPr>
            <w:tcW w:w="6092" w:type="dxa"/>
            <w:tcBorders>
              <w:top w:val="single" w:color="auto" w:sz="4" w:space="0"/>
              <w:left w:val="single" w:color="auto" w:sz="4" w:space="0"/>
              <w:bottom w:val="single" w:color="auto" w:sz="4" w:space="0"/>
              <w:right w:val="single" w:color="auto" w:sz="4" w:space="0"/>
            </w:tcBorders>
            <w:vAlign w:val="center"/>
          </w:tcPr>
          <w:p w14:paraId="727DACBA">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1.招标人对已发出的招标文件需要进行澄清、修改或对疑问作答的，将在重庆财经学院校园网（http://www.cfec.edu.cn）”上发布。</w:t>
            </w:r>
          </w:p>
          <w:p w14:paraId="58B06DA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2.答疑发布时间：收到书面质疑后7个工作日内。</w:t>
            </w:r>
          </w:p>
          <w:p w14:paraId="262FFCB8">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自行登录重庆财经学院校园网（http://www.cfec.edu.cn）直接下载澄清、修改或对疑问作答的相关资料。不论投标人下载与否，招标人都视为投标人收到以上资料并全部知晓有关招标过程和事宜，由此产生的一切后果由投标人自负。</w:t>
            </w:r>
          </w:p>
        </w:tc>
      </w:tr>
      <w:tr w14:paraId="7ADA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EF5ADA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w:t>
            </w:r>
          </w:p>
        </w:tc>
        <w:tc>
          <w:tcPr>
            <w:tcW w:w="1515" w:type="dxa"/>
            <w:tcBorders>
              <w:top w:val="single" w:color="auto" w:sz="4" w:space="0"/>
              <w:left w:val="single" w:color="auto" w:sz="4" w:space="0"/>
              <w:bottom w:val="single" w:color="auto" w:sz="4" w:space="0"/>
              <w:right w:val="single" w:color="auto" w:sz="4" w:space="0"/>
            </w:tcBorders>
            <w:vAlign w:val="center"/>
          </w:tcPr>
          <w:p w14:paraId="0778EAF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0A0096B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投标文件的组成和内容必须实质性响应招标文件的要求，否则将被拒绝。</w:t>
            </w:r>
          </w:p>
        </w:tc>
      </w:tr>
      <w:tr w14:paraId="715E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E27FD2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3.1.1</w:t>
            </w:r>
          </w:p>
        </w:tc>
        <w:tc>
          <w:tcPr>
            <w:tcW w:w="1515" w:type="dxa"/>
            <w:tcBorders>
              <w:top w:val="single" w:color="auto" w:sz="4" w:space="0"/>
              <w:left w:val="single" w:color="auto" w:sz="4" w:space="0"/>
              <w:bottom w:val="single" w:color="auto" w:sz="4" w:space="0"/>
              <w:right w:val="single" w:color="auto" w:sz="4" w:space="0"/>
            </w:tcBorders>
            <w:vAlign w:val="center"/>
          </w:tcPr>
          <w:p w14:paraId="2FE54EF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投标文件的构成</w:t>
            </w:r>
          </w:p>
        </w:tc>
        <w:tc>
          <w:tcPr>
            <w:tcW w:w="6092" w:type="dxa"/>
            <w:tcBorders>
              <w:top w:val="single" w:color="auto" w:sz="4" w:space="0"/>
              <w:left w:val="single" w:color="auto" w:sz="4" w:space="0"/>
              <w:bottom w:val="single" w:color="auto" w:sz="4" w:space="0"/>
              <w:right w:val="single" w:color="auto" w:sz="4" w:space="0"/>
            </w:tcBorders>
            <w:vAlign w:val="center"/>
          </w:tcPr>
          <w:p w14:paraId="7C01F3D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1.投标文件计量单位：采用国家法定计量单位（标准）；</w:t>
            </w:r>
          </w:p>
          <w:p w14:paraId="147889BA">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2.投标文件的组成必须统一格式（见招标文件第五章内容）</w:t>
            </w:r>
          </w:p>
          <w:p w14:paraId="00F854F9">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3.投标人的书面澄清、说明和补正（但不得改变投标文件的实质性内容）。</w:t>
            </w:r>
          </w:p>
        </w:tc>
      </w:tr>
      <w:tr w14:paraId="5162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DFA881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3.2.1</w:t>
            </w:r>
          </w:p>
        </w:tc>
        <w:tc>
          <w:tcPr>
            <w:tcW w:w="1515" w:type="dxa"/>
            <w:tcBorders>
              <w:top w:val="single" w:color="auto" w:sz="4" w:space="0"/>
              <w:left w:val="single" w:color="auto" w:sz="4" w:space="0"/>
              <w:bottom w:val="single" w:color="auto" w:sz="4" w:space="0"/>
              <w:right w:val="single" w:color="auto" w:sz="4" w:space="0"/>
            </w:tcBorders>
            <w:vAlign w:val="center"/>
          </w:tcPr>
          <w:p w14:paraId="7866F7B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投标报价</w:t>
            </w:r>
          </w:p>
        </w:tc>
        <w:tc>
          <w:tcPr>
            <w:tcW w:w="6092" w:type="dxa"/>
            <w:tcBorders>
              <w:top w:val="single" w:color="auto" w:sz="4" w:space="0"/>
              <w:left w:val="single" w:color="auto" w:sz="4" w:space="0"/>
              <w:bottom w:val="single" w:color="auto" w:sz="4" w:space="0"/>
              <w:right w:val="single" w:color="auto" w:sz="4" w:space="0"/>
            </w:tcBorders>
            <w:vAlign w:val="center"/>
          </w:tcPr>
          <w:p w14:paraId="52EBB21E">
            <w:pPr>
              <w:spacing w:line="400" w:lineRule="exact"/>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1. 投标人的投标报价应是本章投标人须知前附表1.3.1项中所述的全部内容的投标报价</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即包干价格</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rPr>
              <w:t>，如果有任何遗漏，均被视为投标人已经在其投标总价中考虑。</w:t>
            </w:r>
          </w:p>
          <w:p w14:paraId="0EEFD6C4">
            <w:pPr>
              <w:spacing w:line="400" w:lineRule="exact"/>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2. 投标报价</w:t>
            </w:r>
            <w:r>
              <w:rPr>
                <w:rFonts w:hint="eastAsia" w:ascii="Times New Roman" w:hAnsi="Times New Roman" w:eastAsia="方正仿宋_GBK" w:cs="Times New Roman"/>
                <w:sz w:val="28"/>
                <w:szCs w:val="28"/>
                <w:highlight w:val="none"/>
                <w:lang w:val="en-US" w:eastAsia="zh-CN"/>
              </w:rPr>
              <w:t>主要</w:t>
            </w:r>
            <w:r>
              <w:rPr>
                <w:rFonts w:hint="eastAsia" w:ascii="Times New Roman" w:hAnsi="Times New Roman" w:eastAsia="方正仿宋_GBK" w:cs="Times New Roman"/>
                <w:sz w:val="28"/>
                <w:szCs w:val="28"/>
                <w:highlight w:val="none"/>
              </w:rPr>
              <w:t>包含以下三个部分：</w:t>
            </w:r>
          </w:p>
          <w:p w14:paraId="0E9B6E38">
            <w:pPr>
              <w:spacing w:line="400" w:lineRule="exact"/>
              <w:rPr>
                <w:rFonts w:hint="eastAsia"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sz w:val="28"/>
                <w:szCs w:val="28"/>
                <w:highlight w:val="none"/>
              </w:rPr>
              <w:t>2.1货物价：</w:t>
            </w:r>
            <w:r>
              <w:rPr>
                <w:rFonts w:hint="eastAsia" w:ascii="Times New Roman" w:hAnsi="Times New Roman" w:eastAsia="方正仿宋_GBK" w:cs="Times New Roman"/>
                <w:color w:val="auto"/>
                <w:sz w:val="28"/>
                <w:szCs w:val="28"/>
                <w:highlight w:val="none"/>
              </w:rPr>
              <w:t>货到买方现场落地交货价。</w:t>
            </w:r>
          </w:p>
          <w:p w14:paraId="41A59E94">
            <w:pPr>
              <w:spacing w:line="400" w:lineRule="exact"/>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rPr>
              <w:t>2.2相关费用：包括装卸搬运费、安装调试、耗材、人工、机具费、培训、现场垃圾处置清运、现场配合费、税金、保险等</w:t>
            </w:r>
            <w:r>
              <w:rPr>
                <w:rFonts w:hint="eastAsia" w:ascii="Times New Roman" w:hAnsi="Times New Roman" w:eastAsia="方正仿宋_GBK" w:cs="Times New Roman"/>
                <w:color w:val="auto"/>
                <w:sz w:val="28"/>
                <w:szCs w:val="28"/>
                <w:highlight w:val="none"/>
                <w:lang w:eastAsia="zh-CN"/>
              </w:rPr>
              <w:t>所需</w:t>
            </w:r>
            <w:r>
              <w:rPr>
                <w:rFonts w:hint="eastAsia" w:ascii="Times New Roman" w:hAnsi="Times New Roman" w:eastAsia="方正仿宋_GBK" w:cs="Times New Roman"/>
                <w:color w:val="auto"/>
                <w:sz w:val="28"/>
                <w:szCs w:val="28"/>
                <w:highlight w:val="none"/>
              </w:rPr>
              <w:t>的所有费用。</w:t>
            </w:r>
          </w:p>
          <w:p w14:paraId="093AB052">
            <w:pPr>
              <w:spacing w:line="400" w:lineRule="exact"/>
              <w:rPr>
                <w:rFonts w:ascii="Times New Roman" w:hAnsi="Times New Roman" w:eastAsia="方正仿宋_GBK" w:cs="Times New Roman"/>
                <w:sz w:val="28"/>
                <w:szCs w:val="28"/>
                <w:highlight w:val="yellow"/>
              </w:rPr>
            </w:pPr>
            <w:r>
              <w:rPr>
                <w:rFonts w:hint="eastAsia" w:ascii="Times New Roman" w:hAnsi="Times New Roman" w:eastAsia="方正仿宋_GBK" w:cs="Times New Roman"/>
                <w:color w:val="auto"/>
                <w:sz w:val="28"/>
                <w:szCs w:val="28"/>
                <w:highlight w:val="none"/>
              </w:rPr>
              <w:t>3.免费质保内所需的费用：包含免费质保期内</w:t>
            </w:r>
            <w:r>
              <w:rPr>
                <w:rFonts w:hint="eastAsia" w:ascii="Times New Roman" w:hAnsi="Times New Roman" w:eastAsia="方正仿宋_GBK" w:cs="Times New Roman"/>
                <w:sz w:val="28"/>
                <w:szCs w:val="28"/>
                <w:highlight w:val="none"/>
              </w:rPr>
              <w:t>因产品质量问题引起的所有</w:t>
            </w:r>
            <w:r>
              <w:rPr>
                <w:rFonts w:hint="eastAsia" w:ascii="Times New Roman" w:hAnsi="Times New Roman" w:eastAsia="方正仿宋_GBK" w:cs="Times New Roman"/>
                <w:sz w:val="28"/>
                <w:szCs w:val="28"/>
                <w:highlight w:val="none"/>
                <w:lang w:val="en-US" w:eastAsia="zh-CN"/>
              </w:rPr>
              <w:t>设备、</w:t>
            </w:r>
            <w:r>
              <w:rPr>
                <w:rFonts w:hint="eastAsia" w:ascii="Times New Roman" w:hAnsi="Times New Roman" w:eastAsia="方正仿宋_GBK" w:cs="Times New Roman"/>
                <w:sz w:val="28"/>
                <w:szCs w:val="28"/>
                <w:highlight w:val="none"/>
              </w:rPr>
              <w:t>软件维护及人员维修所造成的出差</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耗材</w:t>
            </w:r>
            <w:r>
              <w:rPr>
                <w:rFonts w:hint="eastAsia" w:ascii="Times New Roman" w:hAnsi="Times New Roman" w:eastAsia="方正仿宋_GBK" w:cs="Times New Roman"/>
                <w:sz w:val="28"/>
                <w:szCs w:val="28"/>
                <w:highlight w:val="none"/>
              </w:rPr>
              <w:t>等所有费用（不包括因操作失误或其他人为造成的损坏）。</w:t>
            </w:r>
          </w:p>
        </w:tc>
      </w:tr>
      <w:tr w14:paraId="5083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408A07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3.3.1</w:t>
            </w:r>
          </w:p>
        </w:tc>
        <w:tc>
          <w:tcPr>
            <w:tcW w:w="1515" w:type="dxa"/>
            <w:tcBorders>
              <w:top w:val="single" w:color="auto" w:sz="4" w:space="0"/>
              <w:left w:val="single" w:color="auto" w:sz="4" w:space="0"/>
              <w:bottom w:val="single" w:color="auto" w:sz="4" w:space="0"/>
              <w:right w:val="single" w:color="auto" w:sz="4" w:space="0"/>
            </w:tcBorders>
            <w:vAlign w:val="center"/>
          </w:tcPr>
          <w:p w14:paraId="4683A7A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投标有效期</w:t>
            </w:r>
          </w:p>
        </w:tc>
        <w:tc>
          <w:tcPr>
            <w:tcW w:w="6092" w:type="dxa"/>
            <w:tcBorders>
              <w:top w:val="single" w:color="auto" w:sz="4" w:space="0"/>
              <w:left w:val="single" w:color="auto" w:sz="4" w:space="0"/>
              <w:bottom w:val="single" w:color="auto" w:sz="4" w:space="0"/>
              <w:right w:val="single" w:color="auto" w:sz="4" w:space="0"/>
            </w:tcBorders>
            <w:vAlign w:val="center"/>
          </w:tcPr>
          <w:p w14:paraId="1C512F3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90日历天（从递交投标文件截止日起计算）</w:t>
            </w:r>
          </w:p>
        </w:tc>
      </w:tr>
      <w:tr w14:paraId="309B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B95091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3.4.1</w:t>
            </w:r>
          </w:p>
        </w:tc>
        <w:tc>
          <w:tcPr>
            <w:tcW w:w="1515" w:type="dxa"/>
            <w:tcBorders>
              <w:top w:val="single" w:color="auto" w:sz="4" w:space="0"/>
              <w:left w:val="single" w:color="auto" w:sz="4" w:space="0"/>
              <w:bottom w:val="single" w:color="auto" w:sz="4" w:space="0"/>
              <w:right w:val="single" w:color="auto" w:sz="4" w:space="0"/>
            </w:tcBorders>
            <w:vAlign w:val="center"/>
          </w:tcPr>
          <w:p w14:paraId="6B7C7B9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投标保证金</w:t>
            </w:r>
          </w:p>
        </w:tc>
        <w:tc>
          <w:tcPr>
            <w:tcW w:w="6092" w:type="dxa"/>
            <w:tcBorders>
              <w:top w:val="single" w:color="auto" w:sz="4" w:space="0"/>
              <w:left w:val="single" w:color="auto" w:sz="4" w:space="0"/>
              <w:bottom w:val="single" w:color="auto" w:sz="4" w:space="0"/>
              <w:right w:val="single" w:color="auto" w:sz="4" w:space="0"/>
            </w:tcBorders>
            <w:vAlign w:val="center"/>
          </w:tcPr>
          <w:p w14:paraId="6A0AB358">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见招标公告</w:t>
            </w:r>
          </w:p>
        </w:tc>
      </w:tr>
      <w:tr w14:paraId="1C34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DEFA17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3.5.1</w:t>
            </w:r>
          </w:p>
        </w:tc>
        <w:tc>
          <w:tcPr>
            <w:tcW w:w="1515" w:type="dxa"/>
            <w:tcBorders>
              <w:top w:val="single" w:color="auto" w:sz="4" w:space="0"/>
              <w:left w:val="single" w:color="auto" w:sz="4" w:space="0"/>
              <w:bottom w:val="single" w:color="auto" w:sz="4" w:space="0"/>
              <w:right w:val="single" w:color="auto" w:sz="4" w:space="0"/>
            </w:tcBorders>
            <w:vAlign w:val="center"/>
          </w:tcPr>
          <w:p w14:paraId="5DF85C3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资格审查资料</w:t>
            </w:r>
          </w:p>
        </w:tc>
        <w:tc>
          <w:tcPr>
            <w:tcW w:w="6092" w:type="dxa"/>
            <w:tcBorders>
              <w:top w:val="single" w:color="auto" w:sz="4" w:space="0"/>
              <w:left w:val="single" w:color="auto" w:sz="4" w:space="0"/>
              <w:bottom w:val="single" w:color="auto" w:sz="4" w:space="0"/>
              <w:right w:val="single" w:color="auto" w:sz="4" w:space="0"/>
            </w:tcBorders>
            <w:vAlign w:val="center"/>
          </w:tcPr>
          <w:p w14:paraId="43CD1A1C">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本须知前附表1.4.1条要求的相关资料复印件（需要加盖公章）即为审查内容；</w:t>
            </w:r>
          </w:p>
        </w:tc>
      </w:tr>
      <w:tr w14:paraId="2832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16681A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3.6</w:t>
            </w:r>
          </w:p>
        </w:tc>
        <w:tc>
          <w:tcPr>
            <w:tcW w:w="1515" w:type="dxa"/>
            <w:tcBorders>
              <w:top w:val="single" w:color="auto" w:sz="4" w:space="0"/>
              <w:left w:val="single" w:color="auto" w:sz="4" w:space="0"/>
              <w:bottom w:val="single" w:color="auto" w:sz="4" w:space="0"/>
              <w:right w:val="single" w:color="auto" w:sz="4" w:space="0"/>
            </w:tcBorders>
            <w:vAlign w:val="center"/>
          </w:tcPr>
          <w:p w14:paraId="61A2E96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是否允许递交备选投标人案</w:t>
            </w:r>
          </w:p>
        </w:tc>
        <w:tc>
          <w:tcPr>
            <w:tcW w:w="6092" w:type="dxa"/>
            <w:tcBorders>
              <w:top w:val="single" w:color="auto" w:sz="4" w:space="0"/>
              <w:left w:val="single" w:color="auto" w:sz="4" w:space="0"/>
              <w:bottom w:val="single" w:color="auto" w:sz="4" w:space="0"/>
              <w:right w:val="single" w:color="auto" w:sz="4" w:space="0"/>
            </w:tcBorders>
            <w:vAlign w:val="center"/>
          </w:tcPr>
          <w:p w14:paraId="27736C09">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不允许</w:t>
            </w:r>
          </w:p>
        </w:tc>
      </w:tr>
      <w:tr w14:paraId="3D00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205C5F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3.7.3</w:t>
            </w:r>
          </w:p>
        </w:tc>
        <w:tc>
          <w:tcPr>
            <w:tcW w:w="1515" w:type="dxa"/>
            <w:tcBorders>
              <w:top w:val="single" w:color="auto" w:sz="4" w:space="0"/>
              <w:left w:val="single" w:color="auto" w:sz="4" w:space="0"/>
              <w:bottom w:val="single" w:color="auto" w:sz="4" w:space="0"/>
              <w:right w:val="single" w:color="auto" w:sz="4" w:space="0"/>
            </w:tcBorders>
            <w:vAlign w:val="center"/>
          </w:tcPr>
          <w:p w14:paraId="7B34C51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签字盖章要求</w:t>
            </w:r>
          </w:p>
        </w:tc>
        <w:tc>
          <w:tcPr>
            <w:tcW w:w="6092" w:type="dxa"/>
            <w:tcBorders>
              <w:top w:val="single" w:color="auto" w:sz="4" w:space="0"/>
              <w:left w:val="single" w:color="auto" w:sz="4" w:space="0"/>
              <w:bottom w:val="single" w:color="auto" w:sz="4" w:space="0"/>
              <w:right w:val="single" w:color="auto" w:sz="4" w:space="0"/>
            </w:tcBorders>
            <w:vAlign w:val="center"/>
          </w:tcPr>
          <w:p w14:paraId="2E188782">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1.投标文件格式上要求签字盖章的地方，必须签字盖章；</w:t>
            </w:r>
          </w:p>
          <w:p w14:paraId="5CDD9692">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2.所有涉及投标报价、承诺、保证等内容必须签字盖章。</w:t>
            </w:r>
          </w:p>
        </w:tc>
      </w:tr>
      <w:tr w14:paraId="22D9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AF3658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3.7.4</w:t>
            </w:r>
          </w:p>
        </w:tc>
        <w:tc>
          <w:tcPr>
            <w:tcW w:w="1515" w:type="dxa"/>
            <w:tcBorders>
              <w:top w:val="single" w:color="auto" w:sz="4" w:space="0"/>
              <w:left w:val="single" w:color="auto" w:sz="4" w:space="0"/>
              <w:bottom w:val="single" w:color="auto" w:sz="4" w:space="0"/>
              <w:right w:val="single" w:color="auto" w:sz="4" w:space="0"/>
            </w:tcBorders>
            <w:vAlign w:val="center"/>
          </w:tcPr>
          <w:p w14:paraId="4585557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投标文件份数</w:t>
            </w:r>
          </w:p>
        </w:tc>
        <w:tc>
          <w:tcPr>
            <w:tcW w:w="6092" w:type="dxa"/>
            <w:tcBorders>
              <w:top w:val="single" w:color="auto" w:sz="4" w:space="0"/>
              <w:left w:val="single" w:color="auto" w:sz="4" w:space="0"/>
              <w:bottom w:val="single" w:color="auto" w:sz="4" w:space="0"/>
              <w:right w:val="single" w:color="auto" w:sz="4" w:space="0"/>
            </w:tcBorders>
            <w:vAlign w:val="center"/>
          </w:tcPr>
          <w:p w14:paraId="10EF5629">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正本1份、副本2份</w:t>
            </w:r>
          </w:p>
        </w:tc>
      </w:tr>
      <w:tr w14:paraId="1316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2E3B1C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3.7.5</w:t>
            </w:r>
          </w:p>
        </w:tc>
        <w:tc>
          <w:tcPr>
            <w:tcW w:w="1515" w:type="dxa"/>
            <w:tcBorders>
              <w:top w:val="single" w:color="auto" w:sz="4" w:space="0"/>
              <w:left w:val="single" w:color="auto" w:sz="4" w:space="0"/>
              <w:bottom w:val="single" w:color="auto" w:sz="4" w:space="0"/>
              <w:right w:val="single" w:color="auto" w:sz="4" w:space="0"/>
            </w:tcBorders>
            <w:vAlign w:val="center"/>
          </w:tcPr>
          <w:p w14:paraId="405ED56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装订要求</w:t>
            </w:r>
          </w:p>
        </w:tc>
        <w:tc>
          <w:tcPr>
            <w:tcW w:w="6092" w:type="dxa"/>
            <w:tcBorders>
              <w:top w:val="single" w:color="auto" w:sz="4" w:space="0"/>
              <w:left w:val="single" w:color="auto" w:sz="4" w:space="0"/>
              <w:bottom w:val="single" w:color="auto" w:sz="4" w:space="0"/>
              <w:right w:val="single" w:color="auto" w:sz="4" w:space="0"/>
            </w:tcBorders>
            <w:vAlign w:val="center"/>
          </w:tcPr>
          <w:p w14:paraId="540C5388">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1.投标函</w:t>
            </w:r>
          </w:p>
          <w:p w14:paraId="5B73B349">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2.法定代表人身份证明及授权委托书</w:t>
            </w:r>
          </w:p>
          <w:p w14:paraId="116FA132">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3.投标人基本情况表</w:t>
            </w:r>
          </w:p>
          <w:p w14:paraId="0D7C6F73">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w:t>
            </w:r>
            <w:r>
              <w:rPr>
                <w:rFonts w:hint="eastAsia" w:ascii="Times New Roman" w:hAnsi="Times New Roman" w:eastAsia="方正仿宋_GBK" w:cs="Times New Roman"/>
                <w:sz w:val="28"/>
                <w:szCs w:val="28"/>
                <w:highlight w:val="none"/>
              </w:rPr>
              <w:t>响应文件</w:t>
            </w:r>
          </w:p>
          <w:p w14:paraId="3F5FA820">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5.相关资质证明及承诺</w:t>
            </w:r>
          </w:p>
          <w:p w14:paraId="726869A0">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6.售后服务</w:t>
            </w:r>
          </w:p>
          <w:p w14:paraId="206651AB">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7.投标业绩一览表</w:t>
            </w:r>
          </w:p>
          <w:p w14:paraId="2A104A70">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8.近</w:t>
            </w:r>
            <w:r>
              <w:rPr>
                <w:rFonts w:hint="eastAsia" w:ascii="Times New Roman" w:hAnsi="Times New Roman" w:eastAsia="方正仿宋_GBK" w:cs="Times New Roman"/>
                <w:sz w:val="28"/>
                <w:szCs w:val="28"/>
                <w:highlight w:val="none"/>
              </w:rPr>
              <w:t>三</w:t>
            </w:r>
            <w:r>
              <w:rPr>
                <w:rFonts w:ascii="Times New Roman" w:hAnsi="Times New Roman" w:eastAsia="方正仿宋_GBK" w:cs="Times New Roman"/>
                <w:sz w:val="28"/>
                <w:szCs w:val="28"/>
                <w:highlight w:val="none"/>
              </w:rPr>
              <w:t>年财务报表（包括资产负债表、利润表和现金流量表）</w:t>
            </w:r>
          </w:p>
          <w:p w14:paraId="7546563F">
            <w:pPr>
              <w:spacing w:line="400" w:lineRule="exact"/>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9.</w:t>
            </w:r>
            <w:r>
              <w:rPr>
                <w:rFonts w:ascii="Times New Roman" w:hAnsi="Times New Roman" w:eastAsia="方正仿宋_GBK" w:cs="Times New Roman"/>
                <w:sz w:val="28"/>
                <w:szCs w:val="28"/>
                <w:highlight w:val="none"/>
              </w:rPr>
              <w:t>近</w:t>
            </w:r>
            <w:r>
              <w:rPr>
                <w:rFonts w:hint="eastAsia" w:ascii="Times New Roman" w:hAnsi="Times New Roman" w:eastAsia="方正仿宋_GBK" w:cs="Times New Roman"/>
                <w:sz w:val="28"/>
                <w:szCs w:val="28"/>
                <w:highlight w:val="none"/>
              </w:rPr>
              <w:t>三</w:t>
            </w:r>
            <w:r>
              <w:rPr>
                <w:rFonts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lang w:val="en-US" w:eastAsia="zh-CN"/>
              </w:rPr>
              <w:t>纳税、社保证明</w:t>
            </w:r>
          </w:p>
          <w:p w14:paraId="12CC2539">
            <w:pPr>
              <w:spacing w:line="400" w:lineRule="exact"/>
              <w:jc w:val="lef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10.</w:t>
            </w:r>
            <w:r>
              <w:rPr>
                <w:rFonts w:ascii="Times New Roman" w:hAnsi="Times New Roman" w:eastAsia="方正仿宋_GBK" w:cs="Times New Roman"/>
                <w:sz w:val="28"/>
                <w:szCs w:val="28"/>
                <w:highlight w:val="none"/>
              </w:rPr>
              <w:t>近</w:t>
            </w:r>
            <w:r>
              <w:rPr>
                <w:rFonts w:hint="eastAsia" w:ascii="Times New Roman" w:hAnsi="Times New Roman" w:eastAsia="方正仿宋_GBK" w:cs="Times New Roman"/>
                <w:sz w:val="28"/>
                <w:szCs w:val="28"/>
                <w:highlight w:val="none"/>
              </w:rPr>
              <w:t>三</w:t>
            </w:r>
            <w:r>
              <w:rPr>
                <w:rFonts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lang w:val="en-US" w:eastAsia="zh-CN"/>
              </w:rPr>
              <w:t>官网诚信证明截图</w:t>
            </w:r>
          </w:p>
          <w:p w14:paraId="10111F3C">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11</w:t>
            </w:r>
            <w:r>
              <w:rPr>
                <w:rFonts w:ascii="Times New Roman" w:hAnsi="Times New Roman" w:eastAsia="方正仿宋_GBK" w:cs="Times New Roman"/>
                <w:sz w:val="28"/>
                <w:szCs w:val="28"/>
                <w:highlight w:val="none"/>
              </w:rPr>
              <w:t>.承诺函</w:t>
            </w:r>
          </w:p>
          <w:p w14:paraId="1E737F11">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12.投标文件PDF格式的电子档U盘一份</w:t>
            </w:r>
          </w:p>
        </w:tc>
      </w:tr>
      <w:tr w14:paraId="6F87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54F255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4.1.1</w:t>
            </w:r>
          </w:p>
        </w:tc>
        <w:tc>
          <w:tcPr>
            <w:tcW w:w="1515" w:type="dxa"/>
            <w:tcBorders>
              <w:top w:val="single" w:color="auto" w:sz="4" w:space="0"/>
              <w:left w:val="single" w:color="auto" w:sz="4" w:space="0"/>
              <w:bottom w:val="single" w:color="auto" w:sz="4" w:space="0"/>
              <w:right w:val="single" w:color="auto" w:sz="4" w:space="0"/>
            </w:tcBorders>
            <w:vAlign w:val="center"/>
          </w:tcPr>
          <w:p w14:paraId="03DCB9D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投标文件的密封</w:t>
            </w:r>
          </w:p>
        </w:tc>
        <w:tc>
          <w:tcPr>
            <w:tcW w:w="6092" w:type="dxa"/>
            <w:tcBorders>
              <w:top w:val="single" w:color="auto" w:sz="4" w:space="0"/>
              <w:left w:val="single" w:color="auto" w:sz="4" w:space="0"/>
              <w:bottom w:val="single" w:color="auto" w:sz="4" w:space="0"/>
              <w:right w:val="single" w:color="auto" w:sz="4" w:space="0"/>
            </w:tcBorders>
            <w:vAlign w:val="center"/>
          </w:tcPr>
          <w:p w14:paraId="383F6F75">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1.使用投标文件袋</w:t>
            </w:r>
          </w:p>
          <w:p w14:paraId="55F6A276">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2.密封并在投标文件袋处加盖投标人单位章，同时投标文件大袋应按本表第4.1.2项的规定写明相应内容。</w:t>
            </w:r>
          </w:p>
          <w:p w14:paraId="1417BA8A">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3.如果投标文件大袋未按上述规定封装，招标人拒绝接收。</w:t>
            </w:r>
          </w:p>
        </w:tc>
      </w:tr>
      <w:tr w14:paraId="0A44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0602CB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4.1.2</w:t>
            </w:r>
          </w:p>
        </w:tc>
        <w:tc>
          <w:tcPr>
            <w:tcW w:w="1515" w:type="dxa"/>
            <w:tcBorders>
              <w:top w:val="single" w:color="auto" w:sz="4" w:space="0"/>
              <w:left w:val="single" w:color="auto" w:sz="4" w:space="0"/>
              <w:bottom w:val="single" w:color="auto" w:sz="4" w:space="0"/>
              <w:right w:val="single" w:color="auto" w:sz="4" w:space="0"/>
            </w:tcBorders>
            <w:vAlign w:val="center"/>
          </w:tcPr>
          <w:p w14:paraId="375AD6C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封套上写明</w:t>
            </w:r>
          </w:p>
        </w:tc>
        <w:tc>
          <w:tcPr>
            <w:tcW w:w="6092" w:type="dxa"/>
            <w:tcBorders>
              <w:top w:val="single" w:color="auto" w:sz="4" w:space="0"/>
              <w:left w:val="single" w:color="auto" w:sz="4" w:space="0"/>
              <w:bottom w:val="single" w:color="auto" w:sz="4" w:space="0"/>
              <w:right w:val="single" w:color="auto" w:sz="4" w:space="0"/>
            </w:tcBorders>
            <w:vAlign w:val="center"/>
          </w:tcPr>
          <w:p w14:paraId="04B28C96">
            <w:pPr>
              <w:spacing w:line="400" w:lineRule="exact"/>
              <w:rPr>
                <w:rFonts w:ascii="Times New Roman" w:hAnsi="Times New Roman" w:eastAsia="方正仿宋_GBK" w:cs="Times New Roman"/>
                <w:b/>
                <w:sz w:val="28"/>
                <w:szCs w:val="28"/>
                <w:highlight w:val="none"/>
              </w:rPr>
            </w:pPr>
            <w:r>
              <w:rPr>
                <w:rFonts w:ascii="Times New Roman" w:hAnsi="Times New Roman" w:eastAsia="方正仿宋_GBK" w:cs="Times New Roman"/>
                <w:sz w:val="28"/>
                <w:szCs w:val="28"/>
                <w:highlight w:val="none"/>
              </w:rPr>
              <w:t>项目名称：</w:t>
            </w:r>
            <w:r>
              <w:rPr>
                <w:rFonts w:hint="eastAsia" w:ascii="Times New Roman" w:hAnsi="Times New Roman" w:eastAsia="方正仿宋_GBK" w:cs="Times New Roman"/>
                <w:sz w:val="28"/>
                <w:szCs w:val="28"/>
                <w:highlight w:val="none"/>
              </w:rPr>
              <w:t>重庆财经学院</w:t>
            </w:r>
            <w:r>
              <w:rPr>
                <w:rFonts w:hint="eastAsia" w:ascii="Times New Roman" w:hAnsi="Times New Roman" w:eastAsia="方正仿宋_GBK" w:cs="Times New Roman"/>
                <w:sz w:val="28"/>
                <w:szCs w:val="28"/>
                <w:highlight w:val="none"/>
                <w:lang w:eastAsia="zh-CN"/>
              </w:rPr>
              <w:t>中央空调采购项目</w:t>
            </w:r>
          </w:p>
          <w:p w14:paraId="0E4005C9">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投标人名称：</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（投标人盖章）</w:t>
            </w:r>
          </w:p>
          <w:p w14:paraId="1E9BC90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投标文件 在开标前不得开启 </w:t>
            </w:r>
          </w:p>
        </w:tc>
      </w:tr>
      <w:tr w14:paraId="57EA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65" w:type="dxa"/>
            <w:tcBorders>
              <w:top w:val="single" w:color="auto" w:sz="4" w:space="0"/>
              <w:left w:val="single" w:color="auto" w:sz="4" w:space="0"/>
              <w:bottom w:val="single" w:color="auto" w:sz="4" w:space="0"/>
              <w:right w:val="single" w:color="auto" w:sz="4" w:space="0"/>
            </w:tcBorders>
            <w:vAlign w:val="center"/>
          </w:tcPr>
          <w:p w14:paraId="104C0C2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4.2.1</w:t>
            </w:r>
          </w:p>
        </w:tc>
        <w:tc>
          <w:tcPr>
            <w:tcW w:w="1515" w:type="dxa"/>
            <w:tcBorders>
              <w:top w:val="single" w:color="auto" w:sz="4" w:space="0"/>
              <w:left w:val="single" w:color="auto" w:sz="4" w:space="0"/>
              <w:bottom w:val="single" w:color="auto" w:sz="4" w:space="0"/>
              <w:right w:val="single" w:color="auto" w:sz="4" w:space="0"/>
            </w:tcBorders>
            <w:vAlign w:val="center"/>
          </w:tcPr>
          <w:p w14:paraId="6A590BAA">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投标截止时间</w:t>
            </w:r>
          </w:p>
        </w:tc>
        <w:tc>
          <w:tcPr>
            <w:tcW w:w="6092" w:type="dxa"/>
            <w:tcBorders>
              <w:top w:val="single" w:color="auto" w:sz="4" w:space="0"/>
              <w:left w:val="single" w:color="auto" w:sz="4" w:space="0"/>
              <w:bottom w:val="single" w:color="auto" w:sz="4" w:space="0"/>
              <w:right w:val="single" w:color="auto" w:sz="4" w:space="0"/>
            </w:tcBorders>
            <w:vAlign w:val="center"/>
          </w:tcPr>
          <w:p w14:paraId="602631B8">
            <w:pPr>
              <w:spacing w:line="400" w:lineRule="exact"/>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见招标公告</w:t>
            </w:r>
          </w:p>
        </w:tc>
      </w:tr>
      <w:tr w14:paraId="71CE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D4969D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4.2.2</w:t>
            </w:r>
          </w:p>
        </w:tc>
        <w:tc>
          <w:tcPr>
            <w:tcW w:w="1515" w:type="dxa"/>
            <w:tcBorders>
              <w:top w:val="single" w:color="auto" w:sz="4" w:space="0"/>
              <w:left w:val="single" w:color="auto" w:sz="4" w:space="0"/>
              <w:bottom w:val="single" w:color="auto" w:sz="4" w:space="0"/>
              <w:right w:val="single" w:color="auto" w:sz="4" w:space="0"/>
            </w:tcBorders>
            <w:vAlign w:val="center"/>
          </w:tcPr>
          <w:p w14:paraId="0AEDAC0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递交投标文件地点</w:t>
            </w:r>
          </w:p>
        </w:tc>
        <w:tc>
          <w:tcPr>
            <w:tcW w:w="6092" w:type="dxa"/>
            <w:tcBorders>
              <w:top w:val="single" w:color="auto" w:sz="4" w:space="0"/>
              <w:left w:val="single" w:color="auto" w:sz="4" w:space="0"/>
              <w:bottom w:val="single" w:color="auto" w:sz="4" w:space="0"/>
              <w:right w:val="single" w:color="auto" w:sz="4" w:space="0"/>
            </w:tcBorders>
            <w:vAlign w:val="center"/>
          </w:tcPr>
          <w:p w14:paraId="5EE2035D">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见投标时间截止公告</w:t>
            </w:r>
          </w:p>
        </w:tc>
      </w:tr>
      <w:tr w14:paraId="1E15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13507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4.2.3</w:t>
            </w:r>
          </w:p>
        </w:tc>
        <w:tc>
          <w:tcPr>
            <w:tcW w:w="1515" w:type="dxa"/>
            <w:tcBorders>
              <w:top w:val="single" w:color="auto" w:sz="4" w:space="0"/>
              <w:left w:val="single" w:color="auto" w:sz="4" w:space="0"/>
              <w:bottom w:val="single" w:color="auto" w:sz="4" w:space="0"/>
              <w:right w:val="single" w:color="auto" w:sz="4" w:space="0"/>
            </w:tcBorders>
            <w:vAlign w:val="center"/>
          </w:tcPr>
          <w:p w14:paraId="712C362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是否退还投标文件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76264C09">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否</w:t>
            </w:r>
          </w:p>
        </w:tc>
      </w:tr>
      <w:tr w14:paraId="4826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2B6C70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w:t>
            </w:r>
          </w:p>
        </w:tc>
        <w:tc>
          <w:tcPr>
            <w:tcW w:w="1515" w:type="dxa"/>
            <w:tcBorders>
              <w:top w:val="single" w:color="auto" w:sz="4" w:space="0"/>
              <w:left w:val="single" w:color="auto" w:sz="4" w:space="0"/>
              <w:bottom w:val="single" w:color="auto" w:sz="4" w:space="0"/>
              <w:right w:val="single" w:color="auto" w:sz="4" w:space="0"/>
            </w:tcBorders>
            <w:vAlign w:val="center"/>
          </w:tcPr>
          <w:p w14:paraId="0D17821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开标会</w:t>
            </w:r>
          </w:p>
        </w:tc>
        <w:tc>
          <w:tcPr>
            <w:tcW w:w="6092" w:type="dxa"/>
            <w:tcBorders>
              <w:top w:val="single" w:color="auto" w:sz="4" w:space="0"/>
              <w:left w:val="single" w:color="auto" w:sz="4" w:space="0"/>
              <w:bottom w:val="single" w:color="auto" w:sz="4" w:space="0"/>
              <w:right w:val="single" w:color="auto" w:sz="4" w:space="0"/>
            </w:tcBorders>
            <w:vAlign w:val="center"/>
          </w:tcPr>
          <w:p w14:paraId="746E215A">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开标会由重庆财经学</w:t>
            </w:r>
            <w:r>
              <w:rPr>
                <w:rFonts w:ascii="Times New Roman" w:hAnsi="Times New Roman" w:eastAsia="方正仿宋_GBK" w:cs="Times New Roman"/>
                <w:color w:val="auto"/>
                <w:sz w:val="28"/>
                <w:szCs w:val="28"/>
                <w:highlight w:val="none"/>
              </w:rPr>
              <w:t>院招</w:t>
            </w:r>
            <w:r>
              <w:rPr>
                <w:rFonts w:hint="eastAsia" w:ascii="Times New Roman" w:hAnsi="Times New Roman" w:eastAsia="方正仿宋_GBK" w:cs="Times New Roman"/>
                <w:color w:val="auto"/>
                <w:sz w:val="28"/>
                <w:szCs w:val="28"/>
                <w:highlight w:val="none"/>
                <w:lang w:val="en-US" w:eastAsia="zh-CN"/>
              </w:rPr>
              <w:t>采</w:t>
            </w:r>
            <w:r>
              <w:rPr>
                <w:rFonts w:ascii="Times New Roman" w:hAnsi="Times New Roman" w:eastAsia="方正仿宋_GBK" w:cs="Times New Roman"/>
                <w:color w:val="auto"/>
                <w:sz w:val="28"/>
                <w:szCs w:val="28"/>
                <w:highlight w:val="none"/>
              </w:rPr>
              <w:t>办公室主持</w:t>
            </w:r>
          </w:p>
        </w:tc>
      </w:tr>
      <w:tr w14:paraId="19AD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7C83DF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5.1</w:t>
            </w:r>
          </w:p>
        </w:tc>
        <w:tc>
          <w:tcPr>
            <w:tcW w:w="1515" w:type="dxa"/>
            <w:tcBorders>
              <w:top w:val="single" w:color="auto" w:sz="4" w:space="0"/>
              <w:left w:val="single" w:color="auto" w:sz="4" w:space="0"/>
              <w:bottom w:val="single" w:color="auto" w:sz="4" w:space="0"/>
              <w:right w:val="single" w:color="auto" w:sz="4" w:space="0"/>
            </w:tcBorders>
            <w:vAlign w:val="center"/>
          </w:tcPr>
          <w:p w14:paraId="4862919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开标时间和地点</w:t>
            </w:r>
          </w:p>
        </w:tc>
        <w:tc>
          <w:tcPr>
            <w:tcW w:w="6092" w:type="dxa"/>
            <w:tcBorders>
              <w:top w:val="single" w:color="auto" w:sz="4" w:space="0"/>
              <w:left w:val="single" w:color="auto" w:sz="4" w:space="0"/>
              <w:bottom w:val="single" w:color="auto" w:sz="4" w:space="0"/>
              <w:right w:val="single" w:color="auto" w:sz="4" w:space="0"/>
            </w:tcBorders>
            <w:vAlign w:val="center"/>
          </w:tcPr>
          <w:p w14:paraId="1D9C558E">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开标时间：开标时间</w:t>
            </w:r>
            <w:r>
              <w:rPr>
                <w:rFonts w:hint="eastAsia" w:ascii="Times New Roman" w:hAnsi="Times New Roman" w:eastAsia="方正仿宋_GBK" w:cs="Times New Roman"/>
                <w:sz w:val="28"/>
                <w:szCs w:val="28"/>
                <w:highlight w:val="none"/>
                <w:lang w:val="en-US" w:eastAsia="zh-CN"/>
              </w:rPr>
              <w:t>另行</w:t>
            </w:r>
            <w:r>
              <w:rPr>
                <w:rFonts w:hint="eastAsia" w:ascii="Times New Roman" w:hAnsi="Times New Roman" w:eastAsia="方正仿宋_GBK" w:cs="Times New Roman"/>
                <w:sz w:val="28"/>
                <w:szCs w:val="28"/>
                <w:highlight w:val="none"/>
              </w:rPr>
              <w:t>通知。</w:t>
            </w:r>
          </w:p>
          <w:p w14:paraId="52D9501A">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开标地点：重庆财经学院</w:t>
            </w:r>
          </w:p>
        </w:tc>
      </w:tr>
      <w:tr w14:paraId="14AD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36C08A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w:t>
            </w:r>
          </w:p>
        </w:tc>
        <w:tc>
          <w:tcPr>
            <w:tcW w:w="1515" w:type="dxa"/>
            <w:tcBorders>
              <w:top w:val="single" w:color="auto" w:sz="4" w:space="0"/>
              <w:left w:val="single" w:color="auto" w:sz="4" w:space="0"/>
              <w:bottom w:val="single" w:color="auto" w:sz="4" w:space="0"/>
              <w:right w:val="single" w:color="auto" w:sz="4" w:space="0"/>
            </w:tcBorders>
            <w:vAlign w:val="center"/>
          </w:tcPr>
          <w:p w14:paraId="57761D7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评标</w:t>
            </w:r>
          </w:p>
        </w:tc>
        <w:tc>
          <w:tcPr>
            <w:tcW w:w="6092" w:type="dxa"/>
            <w:tcBorders>
              <w:top w:val="single" w:color="auto" w:sz="4" w:space="0"/>
              <w:left w:val="single" w:color="auto" w:sz="4" w:space="0"/>
              <w:bottom w:val="single" w:color="auto" w:sz="4" w:space="0"/>
              <w:right w:val="single" w:color="auto" w:sz="4" w:space="0"/>
            </w:tcBorders>
            <w:vAlign w:val="center"/>
          </w:tcPr>
          <w:p w14:paraId="79386D49">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本项目评标委员会按照本次招标文件要求进行评标</w:t>
            </w:r>
          </w:p>
        </w:tc>
      </w:tr>
      <w:tr w14:paraId="123B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E66900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6.1</w:t>
            </w:r>
          </w:p>
        </w:tc>
        <w:tc>
          <w:tcPr>
            <w:tcW w:w="1515" w:type="dxa"/>
            <w:tcBorders>
              <w:top w:val="single" w:color="auto" w:sz="4" w:space="0"/>
              <w:left w:val="single" w:color="auto" w:sz="4" w:space="0"/>
              <w:bottom w:val="single" w:color="auto" w:sz="4" w:space="0"/>
              <w:right w:val="single" w:color="auto" w:sz="4" w:space="0"/>
            </w:tcBorders>
            <w:vAlign w:val="center"/>
          </w:tcPr>
          <w:p w14:paraId="735DA29C">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评标委员会的组建</w:t>
            </w:r>
          </w:p>
        </w:tc>
        <w:tc>
          <w:tcPr>
            <w:tcW w:w="6092" w:type="dxa"/>
            <w:tcBorders>
              <w:top w:val="single" w:color="auto" w:sz="4" w:space="0"/>
              <w:left w:val="single" w:color="auto" w:sz="4" w:space="0"/>
              <w:bottom w:val="single" w:color="auto" w:sz="4" w:space="0"/>
              <w:right w:val="single" w:color="auto" w:sz="4" w:space="0"/>
            </w:tcBorders>
            <w:vAlign w:val="center"/>
          </w:tcPr>
          <w:p w14:paraId="16595B97">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由招标人根据重庆财经学院</w:t>
            </w:r>
            <w:r>
              <w:rPr>
                <w:rFonts w:hint="eastAsia" w:ascii="Times New Roman" w:hAnsi="Times New Roman" w:eastAsia="方正仿宋_GBK" w:cs="Times New Roman"/>
                <w:color w:val="auto"/>
                <w:sz w:val="28"/>
                <w:szCs w:val="28"/>
                <w:highlight w:val="none"/>
                <w:lang w:val="en-US" w:eastAsia="zh-CN"/>
              </w:rPr>
              <w:t>招采</w:t>
            </w:r>
            <w:r>
              <w:rPr>
                <w:rFonts w:ascii="Times New Roman" w:hAnsi="Times New Roman" w:eastAsia="方正仿宋_GBK" w:cs="Times New Roman"/>
                <w:color w:val="auto"/>
                <w:sz w:val="28"/>
                <w:szCs w:val="28"/>
                <w:highlight w:val="none"/>
              </w:rPr>
              <w:t>管理办法组建</w:t>
            </w:r>
          </w:p>
        </w:tc>
      </w:tr>
      <w:tr w14:paraId="6B22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149819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7.1</w:t>
            </w:r>
          </w:p>
        </w:tc>
        <w:tc>
          <w:tcPr>
            <w:tcW w:w="1515" w:type="dxa"/>
            <w:tcBorders>
              <w:top w:val="single" w:color="auto" w:sz="4" w:space="0"/>
              <w:left w:val="single" w:color="auto" w:sz="4" w:space="0"/>
              <w:bottom w:val="single" w:color="auto" w:sz="4" w:space="0"/>
              <w:right w:val="single" w:color="auto" w:sz="4" w:space="0"/>
            </w:tcBorders>
            <w:vAlign w:val="center"/>
          </w:tcPr>
          <w:p w14:paraId="1B10C463">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是否授权评标委员会确定中标人</w:t>
            </w:r>
          </w:p>
        </w:tc>
        <w:tc>
          <w:tcPr>
            <w:tcW w:w="6092" w:type="dxa"/>
            <w:tcBorders>
              <w:top w:val="single" w:color="auto" w:sz="4" w:space="0"/>
              <w:left w:val="single" w:color="auto" w:sz="4" w:space="0"/>
              <w:bottom w:val="single" w:color="auto" w:sz="4" w:space="0"/>
              <w:right w:val="single" w:color="auto" w:sz="4" w:space="0"/>
            </w:tcBorders>
            <w:vAlign w:val="center"/>
          </w:tcPr>
          <w:p w14:paraId="2C630B06">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否，评标委员会按照由高到低的顺序依次推荐1～3名为中标候选人。</w:t>
            </w:r>
          </w:p>
        </w:tc>
      </w:tr>
      <w:tr w14:paraId="0CE9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B7106F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8.1</w:t>
            </w:r>
          </w:p>
        </w:tc>
        <w:tc>
          <w:tcPr>
            <w:tcW w:w="1515" w:type="dxa"/>
            <w:tcBorders>
              <w:top w:val="single" w:color="auto" w:sz="4" w:space="0"/>
              <w:left w:val="single" w:color="auto" w:sz="4" w:space="0"/>
              <w:bottom w:val="single" w:color="auto" w:sz="4" w:space="0"/>
              <w:right w:val="single" w:color="auto" w:sz="4" w:space="0"/>
            </w:tcBorders>
            <w:vAlign w:val="center"/>
          </w:tcPr>
          <w:p w14:paraId="68DFFA1D">
            <w:pPr>
              <w:spacing w:line="400" w:lineRule="exact"/>
              <w:jc w:val="center"/>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rPr>
              <w:t>重新招标和不再招标</w:t>
            </w:r>
          </w:p>
        </w:tc>
        <w:tc>
          <w:tcPr>
            <w:tcW w:w="6092" w:type="dxa"/>
            <w:tcBorders>
              <w:top w:val="single" w:color="auto" w:sz="4" w:space="0"/>
              <w:left w:val="single" w:color="auto" w:sz="4" w:space="0"/>
              <w:bottom w:val="single" w:color="auto" w:sz="4" w:space="0"/>
              <w:right w:val="single" w:color="auto" w:sz="4" w:space="0"/>
            </w:tcBorders>
            <w:vAlign w:val="center"/>
          </w:tcPr>
          <w:p w14:paraId="7B25E724">
            <w:pPr>
              <w:spacing w:line="400" w:lineRule="exact"/>
              <w:rPr>
                <w:rFonts w:hint="eastAsia"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b/>
                <w:bCs/>
                <w:color w:val="auto"/>
                <w:sz w:val="28"/>
                <w:szCs w:val="28"/>
                <w:highlight w:val="none"/>
              </w:rPr>
              <w:t>重新招标：</w:t>
            </w:r>
            <w:r>
              <w:rPr>
                <w:rFonts w:hint="eastAsia" w:ascii="Times New Roman" w:hAnsi="Times New Roman" w:eastAsia="方正仿宋_GBK" w:cs="Times New Roman"/>
                <w:color w:val="auto"/>
                <w:sz w:val="28"/>
                <w:szCs w:val="28"/>
                <w:highlight w:val="none"/>
              </w:rPr>
              <w:t>（1）投标截止时间止，投标人少于三个的；（2）评标后合格的投标人少于三个的。</w:t>
            </w:r>
          </w:p>
          <w:p w14:paraId="2FA50188">
            <w:pPr>
              <w:spacing w:line="400" w:lineRule="exac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b/>
                <w:bCs/>
                <w:color w:val="auto"/>
                <w:sz w:val="28"/>
                <w:szCs w:val="28"/>
                <w:highlight w:val="none"/>
              </w:rPr>
              <w:t>不再招标：</w:t>
            </w:r>
            <w:r>
              <w:rPr>
                <w:rFonts w:hint="eastAsia" w:ascii="Times New Roman" w:hAnsi="Times New Roman" w:eastAsia="方正仿宋_GBK" w:cs="Times New Roman"/>
                <w:color w:val="auto"/>
                <w:sz w:val="28"/>
                <w:szCs w:val="28"/>
                <w:highlight w:val="none"/>
              </w:rPr>
              <w:t>若调整采购需求重新招标仍然失败的，可以采用竞争性谈判或单一来源的方式执行本项目</w:t>
            </w:r>
          </w:p>
        </w:tc>
      </w:tr>
      <w:tr w14:paraId="3D6E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029D8B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33779673">
            <w:pPr>
              <w:adjustRightInd w:val="0"/>
              <w:spacing w:line="400" w:lineRule="exact"/>
              <w:ind w:left="480"/>
              <w:jc w:val="center"/>
              <w:rPr>
                <w:rFonts w:ascii="Times New Roman" w:hAnsi="Times New Roman" w:eastAsia="方正仿宋_GBK" w:cs="Times New Roman"/>
                <w:b/>
                <w:color w:val="auto"/>
                <w:sz w:val="28"/>
                <w:szCs w:val="28"/>
                <w:highlight w:val="none"/>
              </w:rPr>
            </w:pPr>
            <w:r>
              <w:rPr>
                <w:rFonts w:ascii="Times New Roman" w:hAnsi="Times New Roman" w:eastAsia="方正仿宋_GBK" w:cs="Times New Roman"/>
                <w:color w:val="auto"/>
                <w:sz w:val="28"/>
                <w:szCs w:val="28"/>
                <w:highlight w:val="none"/>
              </w:rPr>
              <w:t>补充内容</w:t>
            </w:r>
          </w:p>
        </w:tc>
      </w:tr>
      <w:tr w14:paraId="4445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A484CA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9.1</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1887C76F">
            <w:pPr>
              <w:spacing w:line="400" w:lineRule="exact"/>
              <w:jc w:val="lef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1.投标人收到中标通知</w:t>
            </w:r>
            <w:r>
              <w:rPr>
                <w:rFonts w:hint="eastAsia" w:ascii="Times New Roman" w:hAnsi="Times New Roman" w:eastAsia="方正仿宋_GBK" w:cs="Times New Roman"/>
                <w:color w:val="auto"/>
                <w:sz w:val="28"/>
                <w:szCs w:val="28"/>
                <w:highlight w:val="none"/>
                <w:lang w:val="en-US" w:eastAsia="zh-CN"/>
              </w:rPr>
              <w:t>书</w:t>
            </w:r>
            <w:r>
              <w:rPr>
                <w:rFonts w:ascii="Times New Roman" w:hAnsi="Times New Roman" w:eastAsia="方正仿宋_GBK" w:cs="Times New Roman"/>
                <w:color w:val="auto"/>
                <w:sz w:val="28"/>
                <w:szCs w:val="28"/>
                <w:highlight w:val="none"/>
              </w:rPr>
              <w:t>3天后，</w:t>
            </w:r>
            <w:r>
              <w:rPr>
                <w:rFonts w:hint="eastAsia" w:ascii="Times New Roman" w:hAnsi="Times New Roman" w:eastAsia="方正仿宋_GBK" w:cs="Times New Roman"/>
                <w:b w:val="0"/>
                <w:bCs/>
                <w:color w:val="auto"/>
                <w:sz w:val="28"/>
                <w:szCs w:val="28"/>
                <w:highlight w:val="none"/>
                <w:lang w:val="en-US" w:eastAsia="zh-CN"/>
              </w:rPr>
              <w:t>投标保证金自动转为履约保证金，履约保证金按不超过合同金额的10%收取，多退少补（无息）。</w:t>
            </w:r>
          </w:p>
        </w:tc>
      </w:tr>
      <w:tr w14:paraId="6862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F08569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9.2</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4E3226BD">
            <w:pPr>
              <w:spacing w:line="400" w:lineRule="exact"/>
              <w:jc w:val="left"/>
              <w:rPr>
                <w:rFonts w:ascii="Times New Roman" w:hAnsi="Times New Roman" w:eastAsia="方正仿宋_GBK" w:cs="Times New Roman"/>
                <w:b/>
                <w:color w:val="auto"/>
                <w:sz w:val="28"/>
                <w:szCs w:val="28"/>
                <w:highlight w:val="none"/>
              </w:rPr>
            </w:pPr>
            <w:r>
              <w:rPr>
                <w:rFonts w:ascii="Times New Roman" w:hAnsi="Times New Roman" w:eastAsia="方正仿宋_GBK" w:cs="Times New Roman"/>
                <w:color w:val="auto"/>
                <w:sz w:val="28"/>
                <w:szCs w:val="28"/>
                <w:highlight w:val="none"/>
              </w:rPr>
              <w:t>本项目从签订合同起，中标方应按照招标方的要求将所提供的设备安装到指定地点</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并完成调试、培训等工作</w:t>
            </w:r>
            <w:r>
              <w:rPr>
                <w:rFonts w:ascii="Times New Roman" w:hAnsi="Times New Roman" w:eastAsia="方正仿宋_GBK" w:cs="Times New Roman"/>
                <w:color w:val="auto"/>
                <w:sz w:val="28"/>
                <w:szCs w:val="28"/>
                <w:highlight w:val="none"/>
              </w:rPr>
              <w:t>。若规定时间内中标方未能完成本项目，招标人有权不退还履约保证金并追究中标方的责任。</w:t>
            </w:r>
          </w:p>
        </w:tc>
      </w:tr>
      <w:tr w14:paraId="4BAD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5" w:type="dxa"/>
            <w:tcBorders>
              <w:top w:val="single" w:color="auto" w:sz="4" w:space="0"/>
              <w:left w:val="single" w:color="auto" w:sz="4" w:space="0"/>
              <w:bottom w:val="single" w:color="auto" w:sz="4" w:space="0"/>
              <w:right w:val="single" w:color="auto" w:sz="4" w:space="0"/>
            </w:tcBorders>
            <w:vAlign w:val="center"/>
          </w:tcPr>
          <w:p w14:paraId="5762F90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9.3</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390788D4">
            <w:pPr>
              <w:shd w:val="clear"/>
              <w:adjustRightInd w:val="0"/>
              <w:spacing w:line="400" w:lineRule="exact"/>
              <w:jc w:val="left"/>
              <w:textAlignment w:val="baseline"/>
              <w:rPr>
                <w:rFonts w:hint="eastAsia" w:ascii="Times New Roman" w:hAnsi="Times New Roman" w:eastAsia="方正仿宋_GBK" w:cs="Times New Roman"/>
                <w:b w:val="0"/>
                <w:bCs/>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付款条件：</w:t>
            </w:r>
            <w:r>
              <w:rPr>
                <w:rFonts w:hint="eastAsia" w:ascii="Times New Roman" w:hAnsi="Times New Roman" w:eastAsia="方正仿宋_GBK" w:cs="Times New Roman"/>
                <w:b w:val="0"/>
                <w:bCs/>
                <w:color w:val="auto"/>
                <w:sz w:val="28"/>
                <w:szCs w:val="28"/>
                <w:highlight w:val="none"/>
                <w:lang w:val="en-US" w:eastAsia="zh-CN"/>
              </w:rPr>
              <w:t>按合同要求所有设备安装调试完成、验收合格并履行完验收手续后，甲方通知乙方开具全额正规税务发票并同时提供汇款单位名称、帐号、开户行等，并按相关程度进行款项支付。</w:t>
            </w:r>
          </w:p>
          <w:p w14:paraId="3A94431A">
            <w:pPr>
              <w:shd w:val="clear"/>
              <w:adjustRightInd w:val="0"/>
              <w:spacing w:line="400" w:lineRule="exact"/>
              <w:jc w:val="left"/>
              <w:textAlignment w:val="baseline"/>
              <w:rPr>
                <w:rFonts w:ascii="Times New Roman" w:hAnsi="Times New Roman" w:eastAsia="方正仿宋_GBK" w:cs="Times New Roman"/>
                <w:b/>
                <w:bCs w:val="0"/>
                <w:color w:val="auto"/>
                <w:sz w:val="28"/>
                <w:szCs w:val="28"/>
                <w:highlight w:val="none"/>
              </w:rPr>
            </w:pPr>
            <w:r>
              <w:rPr>
                <w:rFonts w:hint="eastAsia" w:ascii="Times New Roman" w:hAnsi="Times New Roman" w:eastAsia="方正仿宋_GBK" w:cs="Times New Roman"/>
                <w:b/>
                <w:bCs w:val="0"/>
                <w:color w:val="auto"/>
                <w:sz w:val="28"/>
                <w:szCs w:val="28"/>
                <w:highlight w:val="none"/>
                <w:lang w:val="en-US" w:eastAsia="zh-CN"/>
              </w:rPr>
              <w:t>付款方式（最终以合同为准）</w:t>
            </w:r>
            <w:r>
              <w:rPr>
                <w:rFonts w:ascii="Times New Roman" w:hAnsi="Times New Roman" w:eastAsia="方正仿宋_GBK" w:cs="Times New Roman"/>
                <w:b/>
                <w:bCs w:val="0"/>
                <w:color w:val="auto"/>
                <w:sz w:val="28"/>
                <w:szCs w:val="28"/>
                <w:highlight w:val="none"/>
              </w:rPr>
              <w:t>：</w:t>
            </w:r>
          </w:p>
          <w:p w14:paraId="0DAE1B4B">
            <w:pPr>
              <w:shd w:val="clear"/>
              <w:adjustRightInd w:val="0"/>
              <w:spacing w:line="400" w:lineRule="exact"/>
              <w:jc w:val="left"/>
              <w:textAlignment w:val="baseline"/>
              <w:rPr>
                <w:rFonts w:ascii="Times New Roman" w:hAnsi="Times New Roman" w:eastAsia="方正仿宋_GBK" w:cs="Times New Roman"/>
                <w:b/>
                <w:color w:val="auto"/>
                <w:sz w:val="28"/>
                <w:szCs w:val="28"/>
                <w:highlight w:val="none"/>
              </w:rPr>
            </w:pPr>
            <w:r>
              <w:rPr>
                <w:rFonts w:hint="eastAsia" w:ascii="Times New Roman" w:hAnsi="Times New Roman" w:eastAsia="方正仿宋_GBK" w:cs="Times New Roman"/>
                <w:b/>
                <w:bCs w:val="0"/>
                <w:color w:val="auto"/>
                <w:sz w:val="28"/>
                <w:szCs w:val="28"/>
                <w:highlight w:val="none"/>
                <w:lang w:val="en-US" w:eastAsia="zh-CN"/>
              </w:rPr>
              <w:t>(1)项目安装调试完成，并经校方验收合格后60日内，支付合同总金额的50%;(2)项目正式投入使用满一年后，支付合同总金额的45%;(3)项目质保期满后，支付5%的剩余合同款（无息）。</w:t>
            </w:r>
          </w:p>
        </w:tc>
      </w:tr>
    </w:tbl>
    <w:p w14:paraId="08FF8A1C">
      <w:pPr>
        <w:rPr>
          <w:rFonts w:ascii="Times New Roman" w:hAnsi="Times New Roman" w:eastAsia="方正楷体_GBK" w:cs="Times New Roman"/>
          <w:b/>
          <w:w w:val="99"/>
          <w:kern w:val="0"/>
          <w:sz w:val="32"/>
          <w:szCs w:val="32"/>
          <w:highlight w:val="none"/>
          <w:lang w:val="zh-CN"/>
        </w:rPr>
      </w:pPr>
      <w:r>
        <w:rPr>
          <w:rFonts w:ascii="Times New Roman" w:hAnsi="Times New Roman" w:eastAsia="方正楷体_GBK" w:cs="Times New Roman"/>
          <w:b/>
          <w:w w:val="99"/>
          <w:kern w:val="0"/>
          <w:sz w:val="32"/>
          <w:szCs w:val="32"/>
          <w:highlight w:val="none"/>
          <w:lang w:val="zh-CN"/>
        </w:rPr>
        <w:br w:type="page"/>
      </w:r>
    </w:p>
    <w:p w14:paraId="4E1DDDC0">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r>
        <w:rPr>
          <w:rFonts w:ascii="Times New Roman" w:hAnsi="Times New Roman" w:eastAsia="方正楷体_GBK" w:cs="Times New Roman"/>
          <w:b/>
          <w:w w:val="99"/>
          <w:kern w:val="0"/>
          <w:sz w:val="21"/>
          <w:szCs w:val="21"/>
          <w:highlight w:val="none"/>
          <w:lang w:val="zh-CN"/>
        </w:rPr>
        <w:t>1</w:t>
      </w:r>
      <w:r>
        <w:rPr>
          <w:rFonts w:ascii="Times New Roman" w:hAnsi="Times New Roman" w:eastAsia="方正楷体_GBK" w:cs="Times New Roman"/>
          <w:b/>
          <w:w w:val="99"/>
          <w:kern w:val="0"/>
          <w:sz w:val="21"/>
          <w:szCs w:val="21"/>
          <w:highlight w:val="none"/>
        </w:rPr>
        <w:t>.</w:t>
      </w:r>
      <w:r>
        <w:rPr>
          <w:rFonts w:ascii="Times New Roman" w:hAnsi="Times New Roman" w:eastAsia="方正楷体_GBK" w:cs="Times New Roman"/>
          <w:b/>
          <w:w w:val="99"/>
          <w:kern w:val="0"/>
          <w:sz w:val="21"/>
          <w:szCs w:val="21"/>
          <w:highlight w:val="none"/>
          <w:lang w:val="zh-CN"/>
        </w:rPr>
        <w:t>总则</w:t>
      </w:r>
    </w:p>
    <w:p w14:paraId="2FA4711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6" w:name="_Toc531594736"/>
      <w:bookmarkStart w:id="7" w:name="_Toc12010"/>
      <w:bookmarkStart w:id="8" w:name="_Toc334774165"/>
      <w:r>
        <w:rPr>
          <w:rFonts w:ascii="Times New Roman" w:hAnsi="Times New Roman" w:eastAsia="方正仿宋_GBK" w:cs="Times New Roman"/>
          <w:b/>
          <w:color w:val="auto"/>
          <w:kern w:val="0"/>
          <w:sz w:val="21"/>
          <w:szCs w:val="21"/>
          <w:highlight w:val="none"/>
        </w:rPr>
        <w:t>1.1 项目概况</w:t>
      </w:r>
      <w:bookmarkEnd w:id="6"/>
      <w:bookmarkEnd w:id="7"/>
      <w:bookmarkEnd w:id="8"/>
    </w:p>
    <w:p w14:paraId="46D5769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1.1.1 根据《</w:t>
      </w:r>
      <w:r>
        <w:rPr>
          <w:rFonts w:hint="eastAsia" w:ascii="Times New Roman" w:hAnsi="Times New Roman" w:eastAsia="方正仿宋_GBK" w:cs="Times New Roman"/>
          <w:color w:val="auto"/>
          <w:kern w:val="0"/>
          <w:sz w:val="21"/>
          <w:szCs w:val="21"/>
          <w:highlight w:val="none"/>
          <w:lang w:val="en-US" w:eastAsia="zh-CN"/>
        </w:rPr>
        <w:t>重庆财经学院采购与招标工作管理办法</w:t>
      </w:r>
      <w:r>
        <w:rPr>
          <w:rFonts w:ascii="Times New Roman" w:hAnsi="Times New Roman" w:eastAsia="方正仿宋_GBK" w:cs="Times New Roman"/>
          <w:color w:val="auto"/>
          <w:kern w:val="0"/>
          <w:sz w:val="21"/>
          <w:szCs w:val="21"/>
          <w:highlight w:val="none"/>
        </w:rPr>
        <w:t>》等规定，对本项目货物采购及服务进行</w:t>
      </w:r>
      <w:r>
        <w:rPr>
          <w:rFonts w:hint="eastAsia" w:ascii="Times New Roman" w:hAnsi="Times New Roman" w:eastAsia="方正仿宋_GBK" w:cs="Times New Roman"/>
          <w:color w:val="auto"/>
          <w:kern w:val="0"/>
          <w:sz w:val="21"/>
          <w:szCs w:val="21"/>
          <w:highlight w:val="none"/>
          <w:lang w:eastAsia="zh-CN"/>
        </w:rPr>
        <w:t>挂网招标</w:t>
      </w:r>
      <w:r>
        <w:rPr>
          <w:rFonts w:ascii="Times New Roman" w:hAnsi="Times New Roman" w:eastAsia="方正仿宋_GBK" w:cs="Times New Roman"/>
          <w:color w:val="auto"/>
          <w:kern w:val="0"/>
          <w:sz w:val="21"/>
          <w:szCs w:val="21"/>
          <w:highlight w:val="none"/>
        </w:rPr>
        <w:t>。</w:t>
      </w:r>
    </w:p>
    <w:p w14:paraId="056D9B5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9" w:name="_Toc8901"/>
      <w:bookmarkStart w:id="10" w:name="_Toc531594739"/>
      <w:bookmarkStart w:id="11" w:name="_Toc334774168"/>
      <w:bookmarkStart w:id="12" w:name="_Toc325636584"/>
      <w:r>
        <w:rPr>
          <w:rFonts w:ascii="Times New Roman" w:hAnsi="Times New Roman" w:eastAsia="方正仿宋_GBK" w:cs="Times New Roman"/>
          <w:color w:val="auto"/>
          <w:kern w:val="0"/>
          <w:sz w:val="21"/>
          <w:szCs w:val="21"/>
          <w:highlight w:val="none"/>
        </w:rPr>
        <w:t>1.1.2 本招标项目名称、项目地点：见投标人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2C1CCAB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1.1.3 招标人名称、地址、联系方式：见投标人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03803DF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3" w:name="_Toc317863424"/>
      <w:bookmarkStart w:id="14" w:name="_Toc200513128"/>
      <w:bookmarkStart w:id="15" w:name="_Toc325636582"/>
      <w:bookmarkStart w:id="16" w:name="_Toc31904"/>
      <w:bookmarkStart w:id="17" w:name="_Toc531594737"/>
      <w:bookmarkStart w:id="18" w:name="_Toc334774166"/>
      <w:r>
        <w:rPr>
          <w:rFonts w:ascii="Times New Roman" w:hAnsi="Times New Roman" w:eastAsia="方正仿宋_GBK" w:cs="Times New Roman"/>
          <w:b/>
          <w:color w:val="auto"/>
          <w:kern w:val="0"/>
          <w:sz w:val="21"/>
          <w:szCs w:val="21"/>
          <w:highlight w:val="none"/>
        </w:rPr>
        <w:t xml:space="preserve">1.2 </w:t>
      </w:r>
      <w:bookmarkEnd w:id="13"/>
      <w:bookmarkEnd w:id="14"/>
      <w:bookmarkEnd w:id="15"/>
      <w:r>
        <w:rPr>
          <w:rFonts w:ascii="Times New Roman" w:hAnsi="Times New Roman" w:eastAsia="方正仿宋_GBK" w:cs="Times New Roman"/>
          <w:b/>
          <w:color w:val="auto"/>
          <w:kern w:val="0"/>
          <w:sz w:val="21"/>
          <w:szCs w:val="21"/>
          <w:highlight w:val="none"/>
        </w:rPr>
        <w:t>资金来源和落实情况</w:t>
      </w:r>
      <w:bookmarkEnd w:id="16"/>
      <w:bookmarkEnd w:id="17"/>
      <w:bookmarkEnd w:id="18"/>
    </w:p>
    <w:p w14:paraId="74826EB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1.2.1 本招标项目的资金来源：见投标人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7E338C4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1.2.2 本招标项目的资金落实情况：见投标人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2ABD527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9" w:name="_Toc200513129"/>
      <w:bookmarkStart w:id="20" w:name="_Toc317863425"/>
      <w:bookmarkStart w:id="21" w:name="_Toc334774167"/>
      <w:bookmarkStart w:id="22" w:name="_Toc531594738"/>
      <w:bookmarkStart w:id="23" w:name="_Toc21275"/>
      <w:bookmarkStart w:id="24" w:name="_Toc325636583"/>
      <w:r>
        <w:rPr>
          <w:rFonts w:ascii="Times New Roman" w:hAnsi="Times New Roman" w:eastAsia="方正仿宋_GBK" w:cs="Times New Roman"/>
          <w:b/>
          <w:color w:val="auto"/>
          <w:kern w:val="0"/>
          <w:sz w:val="21"/>
          <w:szCs w:val="21"/>
          <w:highlight w:val="none"/>
        </w:rPr>
        <w:t>1.3 招标</w:t>
      </w:r>
      <w:bookmarkEnd w:id="19"/>
      <w:bookmarkEnd w:id="20"/>
      <w:r>
        <w:rPr>
          <w:rFonts w:ascii="Times New Roman" w:hAnsi="Times New Roman" w:eastAsia="方正仿宋_GBK" w:cs="Times New Roman"/>
          <w:b/>
          <w:color w:val="auto"/>
          <w:kern w:val="0"/>
          <w:sz w:val="21"/>
          <w:szCs w:val="21"/>
          <w:highlight w:val="none"/>
        </w:rPr>
        <w:t>内容</w:t>
      </w:r>
      <w:bookmarkEnd w:id="21"/>
      <w:bookmarkEnd w:id="22"/>
      <w:bookmarkEnd w:id="23"/>
      <w:bookmarkEnd w:id="24"/>
    </w:p>
    <w:p w14:paraId="3430856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1.3.1 本次招标范围：见投标人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73DED7A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1.3.2 交货方式、交货时间：见投标人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65E74B5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1.3.3 伴随服务要求：见投标人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0F218E2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1.3.4 质量保证期：见投标人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4DB95D9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1.3.5 质量要求：见投标人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0B28E35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1.3.6 售后服务：见投标人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4A428F6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1.3.7 项目验收：见投标人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1D64353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1.4 投标人资格要求</w:t>
      </w:r>
      <w:bookmarkEnd w:id="9"/>
      <w:bookmarkEnd w:id="10"/>
      <w:bookmarkEnd w:id="11"/>
      <w:bookmarkEnd w:id="12"/>
    </w:p>
    <w:p w14:paraId="4C33C2C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1.4.1 投标人应具备承担本项目的资质条件、能力和信誉。</w:t>
      </w:r>
    </w:p>
    <w:p w14:paraId="6FDDB19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1.4.2 本项目不接受联合体投标。</w:t>
      </w:r>
    </w:p>
    <w:p w14:paraId="43B30D4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 投标人不得存在下列情形之一：</w:t>
      </w:r>
    </w:p>
    <w:p w14:paraId="55C336B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1.4.3.1 与国有资金投资或国家融资项目的招标人或招标代理机构有控股关系；</w:t>
      </w:r>
    </w:p>
    <w:p w14:paraId="6349EE3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1.4.3.2 单位负责人为同一人或者存在控股、管理关系的不同单位，不得参加同一标段投标或者未划分标段的同一招标项目投标。</w:t>
      </w:r>
    </w:p>
    <w:p w14:paraId="03F534C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1.4.3.3 为参加同一招标项目投标的其他投标人编制投标文件或提供咨询服务；</w:t>
      </w:r>
    </w:p>
    <w:p w14:paraId="03961D4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1.4.3.4 被有关行政部门暂停投标资格期限未满。</w:t>
      </w:r>
    </w:p>
    <w:p w14:paraId="722C2CC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5" w:name="_Toc334774169"/>
      <w:bookmarkStart w:id="26" w:name="_Toc200513132"/>
      <w:bookmarkStart w:id="27" w:name="_Toc317863427"/>
      <w:bookmarkStart w:id="28" w:name="_Toc17569"/>
      <w:bookmarkStart w:id="29" w:name="_Toc325636585"/>
      <w:bookmarkStart w:id="30" w:name="_Toc531594740"/>
      <w:r>
        <w:rPr>
          <w:rFonts w:ascii="Times New Roman" w:hAnsi="Times New Roman" w:eastAsia="方正仿宋_GBK" w:cs="Times New Roman"/>
          <w:b/>
          <w:color w:val="auto"/>
          <w:kern w:val="0"/>
          <w:sz w:val="21"/>
          <w:szCs w:val="21"/>
          <w:highlight w:val="none"/>
        </w:rPr>
        <w:t>1.5 费用承担</w:t>
      </w:r>
      <w:bookmarkEnd w:id="25"/>
      <w:bookmarkEnd w:id="26"/>
      <w:bookmarkEnd w:id="27"/>
      <w:bookmarkEnd w:id="28"/>
      <w:bookmarkEnd w:id="29"/>
      <w:bookmarkEnd w:id="30"/>
    </w:p>
    <w:p w14:paraId="249838E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color w:val="auto"/>
          <w:kern w:val="0"/>
          <w:sz w:val="21"/>
          <w:szCs w:val="21"/>
          <w:highlight w:val="none"/>
        </w:rPr>
        <w:t>不论投标结果如何，投标人应自行承担其准备和参加本投标活动所涉及的一</w:t>
      </w:r>
      <w:r>
        <w:rPr>
          <w:rFonts w:ascii="Times New Roman" w:hAnsi="Times New Roman" w:eastAsia="方正仿宋_GBK" w:cs="Times New Roman"/>
          <w:kern w:val="0"/>
          <w:sz w:val="21"/>
          <w:szCs w:val="21"/>
          <w:highlight w:val="none"/>
        </w:rPr>
        <w:t>切费用。</w:t>
      </w:r>
    </w:p>
    <w:p w14:paraId="0A287AA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31" w:name="_Toc334774170"/>
      <w:bookmarkStart w:id="32" w:name="_Toc325636586"/>
      <w:bookmarkStart w:id="33" w:name="_Toc200513133"/>
      <w:bookmarkStart w:id="34" w:name="_Toc317863428"/>
      <w:r>
        <w:rPr>
          <w:rFonts w:ascii="Times New Roman" w:hAnsi="Times New Roman" w:eastAsia="方正仿宋_GBK" w:cs="Times New Roman"/>
          <w:b/>
          <w:kern w:val="0"/>
          <w:sz w:val="21"/>
          <w:szCs w:val="21"/>
          <w:highlight w:val="none"/>
        </w:rPr>
        <w:t>1.6 保密</w:t>
      </w:r>
      <w:bookmarkEnd w:id="31"/>
      <w:bookmarkEnd w:id="32"/>
      <w:bookmarkEnd w:id="33"/>
      <w:bookmarkEnd w:id="34"/>
    </w:p>
    <w:p w14:paraId="6C73FCF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参与招标投标活动的各方应对招标文件和投标文件中的商业和技术等秘密保密，违者应对由此造成的后果承担法律责任。</w:t>
      </w:r>
    </w:p>
    <w:p w14:paraId="0E2353C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35" w:name="_Toc531594741"/>
      <w:bookmarkStart w:id="36" w:name="_Toc200513134"/>
      <w:bookmarkStart w:id="37" w:name="_Toc317863429"/>
      <w:bookmarkStart w:id="38" w:name="_Toc19952"/>
      <w:bookmarkStart w:id="39" w:name="_Toc334774171"/>
      <w:bookmarkStart w:id="40" w:name="_Toc325636587"/>
      <w:r>
        <w:rPr>
          <w:rFonts w:ascii="Times New Roman" w:hAnsi="Times New Roman" w:eastAsia="方正仿宋_GBK" w:cs="Times New Roman"/>
          <w:b/>
          <w:kern w:val="0"/>
          <w:sz w:val="21"/>
          <w:szCs w:val="21"/>
          <w:highlight w:val="none"/>
        </w:rPr>
        <w:t>1.7 语言文字</w:t>
      </w:r>
      <w:bookmarkEnd w:id="35"/>
      <w:bookmarkEnd w:id="36"/>
      <w:bookmarkEnd w:id="37"/>
      <w:bookmarkEnd w:id="38"/>
      <w:bookmarkEnd w:id="39"/>
      <w:bookmarkEnd w:id="40"/>
    </w:p>
    <w:p w14:paraId="333AB32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除专用术语外，与招标投标有关的语言均使用中文。必要时专用术语应附有中文注释。</w:t>
      </w:r>
    </w:p>
    <w:p w14:paraId="2FADB83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41" w:name="_Toc16650"/>
      <w:bookmarkStart w:id="42" w:name="_Toc317863430"/>
      <w:bookmarkStart w:id="43" w:name="_Toc334774172"/>
      <w:bookmarkStart w:id="44" w:name="_Toc200513135"/>
      <w:bookmarkStart w:id="45" w:name="_Toc531594742"/>
      <w:bookmarkStart w:id="46" w:name="_Toc325636588"/>
      <w:r>
        <w:rPr>
          <w:rFonts w:ascii="Times New Roman" w:hAnsi="Times New Roman" w:eastAsia="方正仿宋_GBK" w:cs="Times New Roman"/>
          <w:b/>
          <w:kern w:val="0"/>
          <w:sz w:val="21"/>
          <w:szCs w:val="21"/>
          <w:highlight w:val="none"/>
        </w:rPr>
        <w:t>1.8 计量单位</w:t>
      </w:r>
      <w:bookmarkEnd w:id="41"/>
      <w:bookmarkEnd w:id="42"/>
      <w:bookmarkEnd w:id="43"/>
      <w:bookmarkEnd w:id="44"/>
      <w:bookmarkEnd w:id="45"/>
      <w:bookmarkEnd w:id="46"/>
    </w:p>
    <w:p w14:paraId="733F6C8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所有计量均采用中华人民共和国法定计量单位。</w:t>
      </w:r>
    </w:p>
    <w:p w14:paraId="440DDC6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47" w:name="_Toc26520"/>
      <w:bookmarkStart w:id="48" w:name="_Toc334774173"/>
      <w:bookmarkStart w:id="49" w:name="_Toc200513136"/>
      <w:bookmarkStart w:id="50" w:name="_Toc317863431"/>
      <w:bookmarkStart w:id="51" w:name="_Toc325636589"/>
      <w:bookmarkStart w:id="52" w:name="_Toc531594743"/>
      <w:r>
        <w:rPr>
          <w:rFonts w:ascii="Times New Roman" w:hAnsi="Times New Roman" w:eastAsia="方正仿宋_GBK" w:cs="Times New Roman"/>
          <w:b/>
          <w:kern w:val="0"/>
          <w:sz w:val="21"/>
          <w:szCs w:val="21"/>
          <w:highlight w:val="none"/>
        </w:rPr>
        <w:t>1.9 踏勘现场</w:t>
      </w:r>
      <w:bookmarkEnd w:id="47"/>
      <w:bookmarkEnd w:id="48"/>
      <w:bookmarkEnd w:id="49"/>
      <w:bookmarkEnd w:id="50"/>
      <w:bookmarkEnd w:id="51"/>
      <w:bookmarkEnd w:id="52"/>
    </w:p>
    <w:p w14:paraId="4E62CC4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由投标人自行踏勘现场。</w:t>
      </w:r>
    </w:p>
    <w:p w14:paraId="77356CE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1.10 投标预备会</w:t>
      </w:r>
    </w:p>
    <w:p w14:paraId="1F4693B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本项目不组织投标预备会。</w:t>
      </w:r>
    </w:p>
    <w:p w14:paraId="4840CB1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53" w:name="_Toc317863435"/>
      <w:bookmarkStart w:id="54" w:name="_Toc19903"/>
      <w:bookmarkStart w:id="55" w:name="_Toc325636593"/>
      <w:bookmarkStart w:id="56" w:name="_Toc334774176"/>
      <w:bookmarkStart w:id="57" w:name="_Toc531594746"/>
      <w:r>
        <w:rPr>
          <w:rFonts w:ascii="Times New Roman" w:hAnsi="Times New Roman" w:eastAsia="方正仿宋_GBK" w:cs="Times New Roman"/>
          <w:b/>
          <w:color w:val="auto"/>
          <w:kern w:val="0"/>
          <w:sz w:val="21"/>
          <w:szCs w:val="21"/>
          <w:highlight w:val="none"/>
        </w:rPr>
        <w:t>1.11 偏离</w:t>
      </w:r>
      <w:bookmarkEnd w:id="53"/>
      <w:bookmarkEnd w:id="54"/>
      <w:bookmarkEnd w:id="55"/>
      <w:bookmarkEnd w:id="56"/>
      <w:bookmarkEnd w:id="57"/>
    </w:p>
    <w:p w14:paraId="035F529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投标人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color w:val="auto"/>
          <w:kern w:val="0"/>
          <w:sz w:val="21"/>
          <w:szCs w:val="21"/>
          <w:highlight w:val="none"/>
        </w:rPr>
        <w:t>知前附表允许投标文件偏离招标文件某些要求的，偏离应当符合招标文件规定的偏离范围和幅度。</w:t>
      </w:r>
    </w:p>
    <w:p w14:paraId="19100DBB">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2"/>
        <w:rPr>
          <w:rFonts w:ascii="Times New Roman" w:hAnsi="Times New Roman" w:eastAsia="方正楷体_GBK" w:cs="Times New Roman"/>
          <w:b/>
          <w:color w:val="auto"/>
          <w:w w:val="99"/>
          <w:kern w:val="0"/>
          <w:sz w:val="21"/>
          <w:szCs w:val="21"/>
          <w:highlight w:val="none"/>
          <w:lang w:val="zh-CN"/>
        </w:rPr>
      </w:pPr>
      <w:bookmarkStart w:id="58" w:name="_Toc200513140"/>
      <w:bookmarkStart w:id="59" w:name="_Toc334774177"/>
      <w:bookmarkStart w:id="60" w:name="_Toc317863436"/>
      <w:bookmarkStart w:id="61" w:name="_Toc531594747"/>
      <w:bookmarkStart w:id="62" w:name="_Toc778"/>
      <w:r>
        <w:rPr>
          <w:rFonts w:ascii="Times New Roman" w:hAnsi="Times New Roman" w:eastAsia="方正楷体_GBK" w:cs="Times New Roman"/>
          <w:b/>
          <w:color w:val="auto"/>
          <w:w w:val="99"/>
          <w:kern w:val="0"/>
          <w:sz w:val="21"/>
          <w:szCs w:val="21"/>
          <w:highlight w:val="none"/>
          <w:lang w:val="zh-CN"/>
        </w:rPr>
        <w:t>2.招标文件</w:t>
      </w:r>
      <w:bookmarkEnd w:id="58"/>
      <w:bookmarkEnd w:id="59"/>
      <w:bookmarkEnd w:id="60"/>
      <w:bookmarkEnd w:id="61"/>
      <w:bookmarkEnd w:id="62"/>
    </w:p>
    <w:p w14:paraId="6C84BF6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63" w:name="_Toc334774178"/>
      <w:bookmarkStart w:id="64" w:name="_Toc531594748"/>
      <w:bookmarkStart w:id="65" w:name="_Toc317863437"/>
      <w:bookmarkStart w:id="66" w:name="_Toc325636595"/>
      <w:bookmarkStart w:id="67" w:name="_Toc32194"/>
      <w:bookmarkStart w:id="68" w:name="_Toc200513141"/>
      <w:r>
        <w:rPr>
          <w:rFonts w:ascii="Times New Roman" w:hAnsi="Times New Roman" w:eastAsia="方正仿宋_GBK" w:cs="Times New Roman"/>
          <w:b/>
          <w:color w:val="auto"/>
          <w:kern w:val="0"/>
          <w:sz w:val="21"/>
          <w:szCs w:val="21"/>
          <w:highlight w:val="none"/>
        </w:rPr>
        <w:t>2.1 招标文件的组成</w:t>
      </w:r>
      <w:bookmarkEnd w:id="63"/>
      <w:bookmarkEnd w:id="64"/>
      <w:bookmarkEnd w:id="65"/>
      <w:bookmarkEnd w:id="66"/>
      <w:bookmarkEnd w:id="67"/>
      <w:bookmarkEnd w:id="68"/>
    </w:p>
    <w:p w14:paraId="21F8BA0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本招标文件包括：</w:t>
      </w:r>
    </w:p>
    <w:p w14:paraId="757699F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（1）招标公告；</w:t>
      </w:r>
    </w:p>
    <w:p w14:paraId="0D2AA52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（2）投标人须知；</w:t>
      </w:r>
    </w:p>
    <w:p w14:paraId="44FDD9F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（3）技术标准和要求；</w:t>
      </w:r>
    </w:p>
    <w:p w14:paraId="210BABB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（4）评标办法；</w:t>
      </w:r>
    </w:p>
    <w:p w14:paraId="1320653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（5）投标文件格式；</w:t>
      </w:r>
    </w:p>
    <w:p w14:paraId="54D0DCD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color w:val="auto"/>
          <w:kern w:val="0"/>
          <w:sz w:val="21"/>
          <w:szCs w:val="21"/>
          <w:highlight w:val="none"/>
        </w:rPr>
        <w:t>根据本章第1.10款、第2.2款和第2.3款对招标文件所</w:t>
      </w:r>
      <w:r>
        <w:rPr>
          <w:rFonts w:hint="eastAsia" w:ascii="Times New Roman" w:hAnsi="Times New Roman" w:eastAsia="方正仿宋_GBK" w:cs="Times New Roman"/>
          <w:color w:val="auto"/>
          <w:kern w:val="0"/>
          <w:sz w:val="21"/>
          <w:szCs w:val="21"/>
          <w:highlight w:val="none"/>
          <w:lang w:val="en-US" w:eastAsia="zh-CN"/>
        </w:rPr>
        <w:t>做</w:t>
      </w:r>
      <w:r>
        <w:rPr>
          <w:rFonts w:ascii="Times New Roman" w:hAnsi="Times New Roman" w:eastAsia="方正仿宋_GBK" w:cs="Times New Roman"/>
          <w:color w:val="auto"/>
          <w:kern w:val="0"/>
          <w:sz w:val="21"/>
          <w:szCs w:val="21"/>
          <w:highlight w:val="none"/>
        </w:rPr>
        <w:t>的</w:t>
      </w:r>
      <w:r>
        <w:rPr>
          <w:rFonts w:ascii="Times New Roman" w:hAnsi="Times New Roman" w:eastAsia="方正仿宋_GBK" w:cs="Times New Roman"/>
          <w:kern w:val="0"/>
          <w:sz w:val="21"/>
          <w:szCs w:val="21"/>
          <w:highlight w:val="none"/>
        </w:rPr>
        <w:t>澄清、修改，构成招标文件的组成部分。</w:t>
      </w:r>
    </w:p>
    <w:p w14:paraId="4B32AEB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69" w:name="_Toc200513142"/>
      <w:bookmarkStart w:id="70" w:name="_Toc334774179"/>
      <w:bookmarkStart w:id="71" w:name="_Toc325636596"/>
      <w:bookmarkStart w:id="72" w:name="_Toc317863438"/>
      <w:bookmarkStart w:id="73" w:name="_Toc13635"/>
      <w:bookmarkStart w:id="74" w:name="_Toc531594749"/>
      <w:r>
        <w:rPr>
          <w:rFonts w:ascii="Times New Roman" w:hAnsi="Times New Roman" w:eastAsia="方正仿宋_GBK" w:cs="Times New Roman"/>
          <w:b/>
          <w:kern w:val="0"/>
          <w:sz w:val="21"/>
          <w:szCs w:val="21"/>
          <w:highlight w:val="none"/>
        </w:rPr>
        <w:t xml:space="preserve">2.2 </w:t>
      </w:r>
      <w:bookmarkEnd w:id="69"/>
      <w:bookmarkEnd w:id="70"/>
      <w:bookmarkEnd w:id="71"/>
      <w:bookmarkEnd w:id="72"/>
      <w:r>
        <w:rPr>
          <w:rFonts w:ascii="Times New Roman" w:hAnsi="Times New Roman" w:eastAsia="方正仿宋_GBK" w:cs="Times New Roman"/>
          <w:b/>
          <w:kern w:val="0"/>
          <w:sz w:val="21"/>
          <w:szCs w:val="21"/>
          <w:highlight w:val="none"/>
        </w:rPr>
        <w:t>对招标文件的疑问</w:t>
      </w:r>
      <w:bookmarkEnd w:id="73"/>
      <w:bookmarkEnd w:id="74"/>
    </w:p>
    <w:p w14:paraId="173EC70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2.2.1投标人应仔细阅读和检查下载的招标文件的全部内容。如发现缺页或附件不全，应及时向招标人提出，以便补齐。如有疑问，应在投标人须知前附表规定的形式和时间前，通知并要求招标人对招标文件予以澄清。</w:t>
      </w:r>
    </w:p>
    <w:p w14:paraId="6B5632F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75" w:name="_Toc531594750"/>
      <w:bookmarkStart w:id="76" w:name="_Toc29041"/>
      <w:r>
        <w:rPr>
          <w:rFonts w:ascii="Times New Roman" w:hAnsi="Times New Roman" w:eastAsia="方正仿宋_GBK" w:cs="Times New Roman"/>
          <w:b/>
          <w:kern w:val="0"/>
          <w:sz w:val="21"/>
          <w:szCs w:val="21"/>
          <w:highlight w:val="none"/>
        </w:rPr>
        <w:t>2.3 招标文件的澄清、修改和答疑</w:t>
      </w:r>
      <w:bookmarkEnd w:id="75"/>
      <w:bookmarkEnd w:id="76"/>
    </w:p>
    <w:p w14:paraId="1069BE2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kern w:val="0"/>
          <w:sz w:val="21"/>
          <w:szCs w:val="21"/>
          <w:highlight w:val="none"/>
        </w:rPr>
        <w:t>2.3.1 投标人如果有疑问，招标人以须知前附表规定的形式对招标文件澄清、修改和答疑，在重</w:t>
      </w:r>
      <w:r>
        <w:rPr>
          <w:rFonts w:hint="eastAsia" w:ascii="Times New Roman" w:hAnsi="Times New Roman" w:eastAsia="方正仿宋_GBK" w:cs="Times New Roman"/>
          <w:kern w:val="0"/>
          <w:sz w:val="21"/>
          <w:szCs w:val="21"/>
          <w:highlight w:val="none"/>
        </w:rPr>
        <w:t>庆</w:t>
      </w:r>
      <w:r>
        <w:rPr>
          <w:rFonts w:ascii="Times New Roman" w:hAnsi="Times New Roman" w:eastAsia="方正仿宋_GBK" w:cs="Times New Roman"/>
          <w:kern w:val="0"/>
          <w:sz w:val="21"/>
          <w:szCs w:val="21"/>
          <w:highlight w:val="none"/>
        </w:rPr>
        <w:t>财经学院校园网（http://www.cfec.edu.cn）发出通知或答疑通知；投标人应时刻在网上相应地方</w:t>
      </w:r>
      <w:r>
        <w:rPr>
          <w:rFonts w:hint="eastAsia" w:ascii="Times New Roman" w:hAnsi="Times New Roman" w:eastAsia="方正仿宋_GBK" w:cs="Times New Roman"/>
          <w:color w:val="auto"/>
          <w:kern w:val="0"/>
          <w:sz w:val="21"/>
          <w:szCs w:val="21"/>
          <w:highlight w:val="none"/>
          <w:lang w:val="en-US" w:eastAsia="zh-CN"/>
        </w:rPr>
        <w:t>查询</w:t>
      </w:r>
      <w:r>
        <w:rPr>
          <w:rFonts w:ascii="Times New Roman" w:hAnsi="Times New Roman" w:eastAsia="方正仿宋_GBK" w:cs="Times New Roman"/>
          <w:color w:val="auto"/>
          <w:kern w:val="0"/>
          <w:sz w:val="21"/>
          <w:szCs w:val="21"/>
          <w:highlight w:val="none"/>
        </w:rPr>
        <w:t>通知、修改、答疑等信息，如果投标人疏忽大意，其后果自负。如果澄清、修改和答疑的时间距投标截止时间不足1天，经有关部门同意后通知相应延长投标截止时间。</w:t>
      </w:r>
    </w:p>
    <w:p w14:paraId="0BD2F0F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2.3.2 投标人网上收到答疑、修改通知后，应按照内容执行，不必确认已收到该修改。</w:t>
      </w:r>
    </w:p>
    <w:p w14:paraId="52611685">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77" w:name="_Toc531594751"/>
      <w:bookmarkStart w:id="78" w:name="_Toc18374"/>
      <w:r>
        <w:rPr>
          <w:rFonts w:ascii="Times New Roman" w:hAnsi="Times New Roman" w:eastAsia="方正楷体_GBK" w:cs="Times New Roman"/>
          <w:b/>
          <w:color w:val="auto"/>
          <w:w w:val="99"/>
          <w:kern w:val="0"/>
          <w:sz w:val="21"/>
          <w:szCs w:val="21"/>
          <w:highlight w:val="none"/>
          <w:lang w:val="zh-CN"/>
        </w:rPr>
        <w:t>3.投标文件</w:t>
      </w:r>
      <w:bookmarkEnd w:id="77"/>
      <w:bookmarkEnd w:id="78"/>
    </w:p>
    <w:p w14:paraId="48905E5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79" w:name="_Toc334774182"/>
      <w:bookmarkStart w:id="80" w:name="_Toc200513145"/>
      <w:bookmarkStart w:id="81" w:name="_Toc19286"/>
      <w:bookmarkStart w:id="82" w:name="_Toc317863441"/>
      <w:bookmarkStart w:id="83" w:name="_Toc325636599"/>
      <w:bookmarkStart w:id="84" w:name="_Toc531594752"/>
      <w:r>
        <w:rPr>
          <w:rFonts w:ascii="Times New Roman" w:hAnsi="Times New Roman" w:eastAsia="方正仿宋_GBK" w:cs="Times New Roman"/>
          <w:b/>
          <w:color w:val="auto"/>
          <w:kern w:val="0"/>
          <w:sz w:val="21"/>
          <w:szCs w:val="21"/>
          <w:highlight w:val="none"/>
        </w:rPr>
        <w:t>3.1 投标文件的组成</w:t>
      </w:r>
      <w:bookmarkEnd w:id="79"/>
      <w:bookmarkEnd w:id="80"/>
      <w:bookmarkEnd w:id="81"/>
      <w:bookmarkEnd w:id="82"/>
      <w:bookmarkEnd w:id="83"/>
      <w:bookmarkEnd w:id="84"/>
    </w:p>
    <w:p w14:paraId="7F545E8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3.1.1 投标函</w:t>
      </w:r>
    </w:p>
    <w:p w14:paraId="7DC6632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3.1.2 法定代表人身份证明及授权委托书</w:t>
      </w:r>
    </w:p>
    <w:p w14:paraId="382C3B2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3.1.3 投标人基本情况表</w:t>
      </w:r>
    </w:p>
    <w:p w14:paraId="53A8DEF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 xml:space="preserve">3.1.4 </w:t>
      </w:r>
      <w:r>
        <w:rPr>
          <w:rFonts w:hint="eastAsia" w:ascii="Times New Roman" w:hAnsi="Times New Roman" w:eastAsia="方正仿宋_GBK" w:cs="Times New Roman"/>
          <w:color w:val="auto"/>
          <w:kern w:val="0"/>
          <w:sz w:val="21"/>
          <w:szCs w:val="21"/>
          <w:highlight w:val="none"/>
        </w:rPr>
        <w:t>响应文件</w:t>
      </w:r>
    </w:p>
    <w:p w14:paraId="703D95C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3.1.5 相关资质证明及承诺</w:t>
      </w:r>
    </w:p>
    <w:p w14:paraId="5774C23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3.1.6 售后服务</w:t>
      </w:r>
    </w:p>
    <w:p w14:paraId="07D6168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3.1.7 投标业绩一览表</w:t>
      </w:r>
    </w:p>
    <w:p w14:paraId="7025690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3.1.8 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年财务报表（包括资产负债表、利润表和现金流量表）</w:t>
      </w:r>
    </w:p>
    <w:p w14:paraId="04966C1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3.1.9 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w:t>
      </w:r>
      <w:r>
        <w:rPr>
          <w:rFonts w:hint="eastAsia" w:ascii="Times New Roman" w:hAnsi="Times New Roman" w:eastAsia="方正仿宋_GBK" w:cs="Times New Roman"/>
          <w:color w:val="auto"/>
          <w:kern w:val="0"/>
          <w:sz w:val="21"/>
          <w:szCs w:val="21"/>
          <w:highlight w:val="none"/>
          <w:lang w:val="en-US" w:eastAsia="zh-CN"/>
        </w:rPr>
        <w:t>纳税、社保证明</w:t>
      </w:r>
    </w:p>
    <w:p w14:paraId="199F5DF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default" w:ascii="Times New Roman" w:hAnsi="Times New Roman" w:eastAsia="方正仿宋_GBK" w:cs="Times New Roman"/>
          <w:color w:val="auto"/>
          <w:kern w:val="0"/>
          <w:sz w:val="21"/>
          <w:szCs w:val="21"/>
          <w:highlight w:val="none"/>
          <w:lang w:val="en-US" w:eastAsia="zh-CN"/>
        </w:rPr>
      </w:pPr>
      <w:r>
        <w:rPr>
          <w:rFonts w:ascii="Times New Roman" w:hAnsi="Times New Roman" w:eastAsia="方正仿宋_GBK" w:cs="Times New Roman"/>
          <w:color w:val="auto"/>
          <w:kern w:val="0"/>
          <w:sz w:val="21"/>
          <w:szCs w:val="21"/>
          <w:highlight w:val="none"/>
        </w:rPr>
        <w:t>3.1.10</w:t>
      </w:r>
      <w:r>
        <w:rPr>
          <w:rFonts w:hint="eastAsia" w:ascii="Times New Roman" w:hAnsi="Times New Roman" w:eastAsia="方正仿宋_GBK" w:cs="Times New Roman"/>
          <w:color w:val="auto"/>
          <w:kern w:val="0"/>
          <w:sz w:val="21"/>
          <w:szCs w:val="21"/>
          <w:highlight w:val="none"/>
          <w:lang w:val="en-US" w:eastAsia="zh-CN"/>
        </w:rPr>
        <w:t xml:space="preserve"> </w:t>
      </w:r>
      <w:r>
        <w:rPr>
          <w:rFonts w:ascii="Times New Roman" w:hAnsi="Times New Roman" w:eastAsia="方正仿宋_GBK" w:cs="Times New Roman"/>
          <w:color w:val="auto"/>
          <w:kern w:val="0"/>
          <w:sz w:val="21"/>
          <w:szCs w:val="21"/>
          <w:highlight w:val="none"/>
        </w:rPr>
        <w:t>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w:t>
      </w:r>
      <w:r>
        <w:rPr>
          <w:rFonts w:hint="eastAsia" w:ascii="Times New Roman" w:hAnsi="Times New Roman" w:eastAsia="方正仿宋_GBK" w:cs="Times New Roman"/>
          <w:color w:val="auto"/>
          <w:kern w:val="0"/>
          <w:sz w:val="21"/>
          <w:szCs w:val="21"/>
          <w:highlight w:val="none"/>
          <w:lang w:val="en-US" w:eastAsia="zh-CN"/>
        </w:rPr>
        <w:t>官网诚信证明截图</w:t>
      </w:r>
    </w:p>
    <w:p w14:paraId="0F7F380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hint="eastAsia" w:ascii="Times New Roman" w:hAnsi="Times New Roman" w:eastAsia="方正仿宋_GBK" w:cs="Times New Roman"/>
          <w:color w:val="auto"/>
          <w:kern w:val="0"/>
          <w:sz w:val="21"/>
          <w:szCs w:val="21"/>
          <w:highlight w:val="none"/>
          <w:lang w:val="en-US" w:eastAsia="zh-CN"/>
        </w:rPr>
        <w:t xml:space="preserve">3.1.11 </w:t>
      </w:r>
      <w:r>
        <w:rPr>
          <w:rFonts w:ascii="Times New Roman" w:hAnsi="Times New Roman" w:eastAsia="方正仿宋_GBK" w:cs="Times New Roman"/>
          <w:color w:val="auto"/>
          <w:kern w:val="0"/>
          <w:sz w:val="21"/>
          <w:szCs w:val="21"/>
          <w:highlight w:val="none"/>
        </w:rPr>
        <w:t>承诺函</w:t>
      </w:r>
    </w:p>
    <w:p w14:paraId="0DEBBD9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hint="eastAsia" w:ascii="Times New Roman" w:hAnsi="Times New Roman" w:eastAsia="方正仿宋_GBK" w:cs="Times New Roman"/>
          <w:color w:val="auto"/>
          <w:kern w:val="0"/>
          <w:sz w:val="21"/>
          <w:szCs w:val="21"/>
          <w:highlight w:val="none"/>
          <w:lang w:val="en-US" w:eastAsia="zh-CN"/>
        </w:rPr>
        <w:t>3.1.12 投标文件PDF格式的电子档U盘一份</w:t>
      </w:r>
    </w:p>
    <w:p w14:paraId="2E8952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3.2 投标报价</w:t>
      </w:r>
    </w:p>
    <w:p w14:paraId="7C02CE9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3.2.1 投标人应按投标人须知前附表及其相关规定填报。</w:t>
      </w:r>
    </w:p>
    <w:p w14:paraId="73ACAE3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85" w:name="_Toc12196"/>
      <w:bookmarkStart w:id="86" w:name="_Toc200513147"/>
      <w:bookmarkStart w:id="87" w:name="_Toc531594754"/>
      <w:bookmarkStart w:id="88" w:name="_Toc325636601"/>
      <w:bookmarkStart w:id="89" w:name="_Toc317863443"/>
      <w:bookmarkStart w:id="90" w:name="_Toc334774184"/>
      <w:r>
        <w:rPr>
          <w:rFonts w:ascii="Times New Roman" w:hAnsi="Times New Roman" w:eastAsia="方正仿宋_GBK" w:cs="Times New Roman"/>
          <w:b/>
          <w:color w:val="auto"/>
          <w:kern w:val="0"/>
          <w:sz w:val="21"/>
          <w:szCs w:val="21"/>
          <w:highlight w:val="none"/>
        </w:rPr>
        <w:t>3.3 投标有效期</w:t>
      </w:r>
      <w:bookmarkEnd w:id="85"/>
      <w:bookmarkEnd w:id="86"/>
      <w:bookmarkEnd w:id="87"/>
      <w:bookmarkEnd w:id="88"/>
      <w:bookmarkEnd w:id="89"/>
      <w:bookmarkEnd w:id="90"/>
    </w:p>
    <w:p w14:paraId="2420A57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3.3.1 在投标人须知前附表规定的投标有效期内，投标人不得要求撤销或修改其投标文件。</w:t>
      </w:r>
    </w:p>
    <w:p w14:paraId="1064DCE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color w:val="auto"/>
          <w:kern w:val="0"/>
          <w:sz w:val="21"/>
          <w:szCs w:val="21"/>
          <w:highlight w:val="none"/>
        </w:rPr>
        <w:t>3.3.2 出现特殊情况需要延长投标有效期的，招标人以</w:t>
      </w:r>
      <w:r>
        <w:rPr>
          <w:rFonts w:ascii="Times New Roman" w:hAnsi="Times New Roman" w:eastAsia="方正仿宋_GBK" w:cs="Times New Roman"/>
          <w:kern w:val="0"/>
          <w:sz w:val="21"/>
          <w:szCs w:val="21"/>
          <w:highlight w:val="none"/>
        </w:rPr>
        <w:t>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1DC1A1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91" w:name="_Toc28560"/>
      <w:bookmarkStart w:id="92" w:name="_Toc325636602"/>
      <w:bookmarkStart w:id="93" w:name="_Toc317863444"/>
      <w:bookmarkStart w:id="94" w:name="_Toc334774185"/>
      <w:bookmarkStart w:id="95" w:name="_Toc531594755"/>
      <w:bookmarkStart w:id="96" w:name="_Toc200513148"/>
      <w:r>
        <w:rPr>
          <w:rFonts w:ascii="Times New Roman" w:hAnsi="Times New Roman" w:eastAsia="方正仿宋_GBK" w:cs="Times New Roman"/>
          <w:b/>
          <w:kern w:val="0"/>
          <w:sz w:val="21"/>
          <w:szCs w:val="21"/>
          <w:highlight w:val="none"/>
        </w:rPr>
        <w:t>3.4 投标保证金</w:t>
      </w:r>
      <w:bookmarkEnd w:id="91"/>
      <w:bookmarkEnd w:id="92"/>
      <w:bookmarkEnd w:id="93"/>
      <w:bookmarkEnd w:id="94"/>
      <w:bookmarkEnd w:id="95"/>
      <w:bookmarkEnd w:id="96"/>
    </w:p>
    <w:p w14:paraId="6E99205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3.4.1 投标人在递交投标文件的同时，应按“投标人须知前附表”规定的金额、形式缴纳投标保证金，并作为其投标文件的组成部分。</w:t>
      </w:r>
    </w:p>
    <w:p w14:paraId="0C4DD6C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3.4.2 投标人不按本章第 3.4.1 项要求提交投标保证金的，其投标文件作废标处理。</w:t>
      </w:r>
    </w:p>
    <w:p w14:paraId="6AC5690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3.4.3 招标人</w:t>
      </w:r>
      <w:r>
        <w:rPr>
          <w:rFonts w:hint="eastAsia" w:ascii="Times New Roman" w:hAnsi="Times New Roman" w:eastAsia="方正仿宋_GBK" w:cs="Times New Roman"/>
          <w:kern w:val="0"/>
          <w:sz w:val="21"/>
          <w:szCs w:val="21"/>
          <w:highlight w:val="none"/>
        </w:rPr>
        <w:t>现场</w:t>
      </w:r>
      <w:r>
        <w:rPr>
          <w:rFonts w:ascii="Times New Roman" w:hAnsi="Times New Roman" w:eastAsia="方正仿宋_GBK" w:cs="Times New Roman"/>
          <w:kern w:val="0"/>
          <w:sz w:val="21"/>
          <w:szCs w:val="21"/>
          <w:highlight w:val="none"/>
        </w:rPr>
        <w:t>退还未列入中标候选人的投标保证金（不计息），招标人与中标人签订合同后10个工作日内，学院向其他中标候选人退还投标保证金（不计息）。</w:t>
      </w:r>
    </w:p>
    <w:p w14:paraId="4B7CC9D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3.4.4 有下列情形之一的，投标保证金将不予退还：</w:t>
      </w:r>
    </w:p>
    <w:p w14:paraId="6C288A5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3.4.4.1 投标人在规定的投标有效期内撤销或修改其投标文件；</w:t>
      </w:r>
    </w:p>
    <w:p w14:paraId="0E9A8C2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3.4.4.2 中标人在中标通知书发出3日之内拒绝签订合同，其保证金将不予退还。</w:t>
      </w:r>
    </w:p>
    <w:p w14:paraId="61358E6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r>
        <w:rPr>
          <w:rFonts w:ascii="Times New Roman" w:hAnsi="Times New Roman" w:eastAsia="方正仿宋_GBK" w:cs="Times New Roman"/>
          <w:b/>
          <w:kern w:val="0"/>
          <w:sz w:val="21"/>
          <w:szCs w:val="21"/>
          <w:highlight w:val="none"/>
        </w:rPr>
        <w:t>3.5 资格审查资料</w:t>
      </w:r>
    </w:p>
    <w:p w14:paraId="4F93B77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kern w:val="0"/>
          <w:sz w:val="21"/>
          <w:szCs w:val="21"/>
          <w:highlight w:val="none"/>
        </w:rPr>
        <w:t>3.5.1 本须知前附表1.4.1条要求的相关资料复印件（需要加盖公章）和投标文件格式要求的内容</w:t>
      </w:r>
      <w:r>
        <w:rPr>
          <w:rFonts w:ascii="Times New Roman" w:hAnsi="Times New Roman" w:eastAsia="方正仿宋_GBK" w:cs="Times New Roman"/>
          <w:color w:val="auto"/>
          <w:kern w:val="0"/>
          <w:sz w:val="21"/>
          <w:szCs w:val="21"/>
          <w:highlight w:val="none"/>
        </w:rPr>
        <w:t>；</w:t>
      </w:r>
    </w:p>
    <w:p w14:paraId="23BFFB4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97" w:name="_Toc317863446"/>
      <w:bookmarkStart w:id="98" w:name="_Toc7983"/>
      <w:bookmarkStart w:id="99" w:name="_Toc334774187"/>
      <w:bookmarkStart w:id="100" w:name="_Toc200513151"/>
      <w:bookmarkStart w:id="101" w:name="_Toc325636604"/>
      <w:bookmarkStart w:id="102" w:name="_Toc531594756"/>
      <w:r>
        <w:rPr>
          <w:rFonts w:ascii="Times New Roman" w:hAnsi="Times New Roman" w:eastAsia="方正仿宋_GBK" w:cs="Times New Roman"/>
          <w:b/>
          <w:color w:val="auto"/>
          <w:kern w:val="0"/>
          <w:sz w:val="21"/>
          <w:szCs w:val="21"/>
          <w:highlight w:val="none"/>
        </w:rPr>
        <w:t>3.6 备选投标</w:t>
      </w:r>
      <w:r>
        <w:rPr>
          <w:rFonts w:hint="eastAsia" w:ascii="Times New Roman" w:hAnsi="Times New Roman" w:eastAsia="方正仿宋_GBK" w:cs="Times New Roman"/>
          <w:b/>
          <w:color w:val="auto"/>
          <w:kern w:val="0"/>
          <w:sz w:val="21"/>
          <w:szCs w:val="21"/>
          <w:highlight w:val="none"/>
          <w:lang w:val="en-US" w:eastAsia="zh-CN"/>
        </w:rPr>
        <w:t>方</w:t>
      </w:r>
      <w:r>
        <w:rPr>
          <w:rFonts w:ascii="Times New Roman" w:hAnsi="Times New Roman" w:eastAsia="方正仿宋_GBK" w:cs="Times New Roman"/>
          <w:b/>
          <w:color w:val="auto"/>
          <w:kern w:val="0"/>
          <w:sz w:val="21"/>
          <w:szCs w:val="21"/>
          <w:highlight w:val="none"/>
        </w:rPr>
        <w:t>案</w:t>
      </w:r>
      <w:bookmarkEnd w:id="97"/>
      <w:bookmarkEnd w:id="98"/>
      <w:bookmarkEnd w:id="99"/>
      <w:bookmarkEnd w:id="100"/>
      <w:bookmarkEnd w:id="101"/>
      <w:bookmarkEnd w:id="102"/>
    </w:p>
    <w:p w14:paraId="054951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投标人不得递交备选投标</w:t>
      </w:r>
      <w:r>
        <w:rPr>
          <w:rFonts w:hint="eastAsia" w:ascii="Times New Roman" w:hAnsi="Times New Roman" w:eastAsia="方正仿宋_GBK" w:cs="Times New Roman"/>
          <w:color w:val="auto"/>
          <w:kern w:val="0"/>
          <w:sz w:val="21"/>
          <w:szCs w:val="21"/>
          <w:highlight w:val="none"/>
          <w:lang w:val="en-US" w:eastAsia="zh-CN"/>
        </w:rPr>
        <w:t>方</w:t>
      </w:r>
      <w:r>
        <w:rPr>
          <w:rFonts w:ascii="Times New Roman" w:hAnsi="Times New Roman" w:eastAsia="方正仿宋_GBK" w:cs="Times New Roman"/>
          <w:color w:val="auto"/>
          <w:kern w:val="0"/>
          <w:sz w:val="21"/>
          <w:szCs w:val="21"/>
          <w:highlight w:val="none"/>
        </w:rPr>
        <w:t>案。</w:t>
      </w:r>
    </w:p>
    <w:p w14:paraId="1D0254C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03" w:name="_Toc334774188"/>
      <w:bookmarkStart w:id="104" w:name="_Toc200513152"/>
      <w:bookmarkStart w:id="105" w:name="_Toc21408"/>
      <w:bookmarkStart w:id="106" w:name="_Toc325636605"/>
      <w:bookmarkStart w:id="107" w:name="_Toc317863447"/>
      <w:bookmarkStart w:id="108" w:name="_Toc531594757"/>
      <w:r>
        <w:rPr>
          <w:rFonts w:ascii="Times New Roman" w:hAnsi="Times New Roman" w:eastAsia="方正仿宋_GBK" w:cs="Times New Roman"/>
          <w:b/>
          <w:color w:val="auto"/>
          <w:kern w:val="0"/>
          <w:sz w:val="21"/>
          <w:szCs w:val="21"/>
          <w:highlight w:val="none"/>
        </w:rPr>
        <w:t>3.7 投标文件的编制</w:t>
      </w:r>
      <w:bookmarkEnd w:id="103"/>
      <w:bookmarkEnd w:id="104"/>
      <w:bookmarkEnd w:id="105"/>
      <w:bookmarkEnd w:id="106"/>
      <w:bookmarkEnd w:id="107"/>
      <w:bookmarkEnd w:id="108"/>
    </w:p>
    <w:p w14:paraId="1A7CD37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14:paraId="4D0271D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3.7.2 投标文件应当对招标文件有关工期、投标有效期、质量要求、技术标准和要求、招标范围等实质性内容做出响应。</w:t>
      </w:r>
    </w:p>
    <w:p w14:paraId="1A8A1CC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14:paraId="0235EEF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3.7.4 投标文件份数见投标须知前附表。</w:t>
      </w:r>
    </w:p>
    <w:p w14:paraId="66E9BCF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3.7.5 投标文件的正本与副本应分别装订成册，并编制目录，具体装订要求见投标人须知前附表规定。</w:t>
      </w:r>
    </w:p>
    <w:p w14:paraId="27E6EAE1">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109" w:name="_Toc317863448"/>
      <w:bookmarkStart w:id="110" w:name="_Toc531594758"/>
      <w:bookmarkStart w:id="111" w:name="_Toc200513153"/>
      <w:bookmarkStart w:id="112" w:name="_Toc13793"/>
      <w:bookmarkStart w:id="113" w:name="_Toc334774189"/>
      <w:r>
        <w:rPr>
          <w:rFonts w:ascii="Times New Roman" w:hAnsi="Times New Roman" w:eastAsia="方正楷体_GBK" w:cs="Times New Roman"/>
          <w:b/>
          <w:w w:val="99"/>
          <w:kern w:val="0"/>
          <w:sz w:val="21"/>
          <w:szCs w:val="21"/>
          <w:highlight w:val="none"/>
          <w:lang w:val="zh-CN"/>
        </w:rPr>
        <w:t>4.投标</w:t>
      </w:r>
      <w:bookmarkEnd w:id="109"/>
      <w:bookmarkEnd w:id="110"/>
      <w:bookmarkEnd w:id="111"/>
      <w:bookmarkEnd w:id="112"/>
      <w:bookmarkEnd w:id="113"/>
    </w:p>
    <w:p w14:paraId="432461F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14" w:name="_Toc334774190"/>
      <w:bookmarkStart w:id="115" w:name="_Toc325636607"/>
      <w:bookmarkStart w:id="116" w:name="_Toc200513154"/>
      <w:bookmarkStart w:id="117" w:name="_Toc531594759"/>
      <w:bookmarkStart w:id="118" w:name="_Toc26003"/>
      <w:bookmarkStart w:id="119" w:name="_Toc317863449"/>
      <w:r>
        <w:rPr>
          <w:rFonts w:ascii="Times New Roman" w:hAnsi="Times New Roman" w:eastAsia="方正仿宋_GBK" w:cs="Times New Roman"/>
          <w:b/>
          <w:kern w:val="0"/>
          <w:sz w:val="21"/>
          <w:szCs w:val="21"/>
          <w:highlight w:val="none"/>
        </w:rPr>
        <w:t>4.1 投标文件的密封和标记</w:t>
      </w:r>
      <w:bookmarkEnd w:id="114"/>
      <w:bookmarkEnd w:id="115"/>
      <w:bookmarkEnd w:id="116"/>
      <w:bookmarkEnd w:id="117"/>
      <w:bookmarkEnd w:id="118"/>
      <w:bookmarkEnd w:id="119"/>
    </w:p>
    <w:p w14:paraId="3B7F51E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4.1.1 投标文件的密封见投标人须知前附表。</w:t>
      </w:r>
    </w:p>
    <w:p w14:paraId="09EC019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4.1.2 投标文件的封套上应写明的内容见投标人须知前附表。</w:t>
      </w:r>
    </w:p>
    <w:p w14:paraId="021ADA4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4.1.3 未按要求密封和写标记的投标文件，将被拒绝受理。</w:t>
      </w:r>
    </w:p>
    <w:p w14:paraId="224D119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20" w:name="_Toc334774191"/>
      <w:bookmarkStart w:id="121" w:name="_Toc317863450"/>
      <w:bookmarkStart w:id="122" w:name="_Toc531594760"/>
      <w:bookmarkStart w:id="123" w:name="_Toc5004"/>
      <w:bookmarkStart w:id="124" w:name="_Toc325636608"/>
      <w:r>
        <w:rPr>
          <w:rFonts w:ascii="Times New Roman" w:hAnsi="Times New Roman" w:eastAsia="方正仿宋_GBK" w:cs="Times New Roman"/>
          <w:b/>
          <w:kern w:val="0"/>
          <w:sz w:val="21"/>
          <w:szCs w:val="21"/>
          <w:highlight w:val="none"/>
        </w:rPr>
        <w:t>4.2 投标文件的递交</w:t>
      </w:r>
      <w:bookmarkEnd w:id="120"/>
      <w:bookmarkEnd w:id="121"/>
      <w:bookmarkEnd w:id="122"/>
      <w:bookmarkEnd w:id="123"/>
      <w:bookmarkEnd w:id="124"/>
    </w:p>
    <w:p w14:paraId="0965A00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4.2.1 投标人应在本章前附表规定的投标截止时间前递交投标文件。</w:t>
      </w:r>
    </w:p>
    <w:p w14:paraId="057EA52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4.2.2 投标人递交投标文件的地点：见投标人须知前附表。</w:t>
      </w:r>
    </w:p>
    <w:p w14:paraId="64ED04C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4.2.3 除投标人须知前附表另有规定外，投标人所递交的投标文件不予退还。</w:t>
      </w:r>
    </w:p>
    <w:p w14:paraId="080B15B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4.2.4 招标人收到投标文件后，向投标人出具签收凭证。</w:t>
      </w:r>
    </w:p>
    <w:p w14:paraId="7D42E8C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4.2.5 逾期送达的或者未送达指定地点的投标文件，招标人不予受理。</w:t>
      </w:r>
    </w:p>
    <w:p w14:paraId="6DA948F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25" w:name="_Toc200513156"/>
      <w:bookmarkStart w:id="126" w:name="_Toc531594761"/>
      <w:bookmarkStart w:id="127" w:name="_Toc317863451"/>
      <w:bookmarkStart w:id="128" w:name="_Toc325636609"/>
      <w:bookmarkStart w:id="129" w:name="_Toc20769"/>
      <w:bookmarkStart w:id="130" w:name="_Toc334774192"/>
      <w:r>
        <w:rPr>
          <w:rFonts w:ascii="Times New Roman" w:hAnsi="Times New Roman" w:eastAsia="方正仿宋_GBK" w:cs="Times New Roman"/>
          <w:b/>
          <w:kern w:val="0"/>
          <w:sz w:val="21"/>
          <w:szCs w:val="21"/>
          <w:highlight w:val="none"/>
        </w:rPr>
        <w:t>4.3 投标文件的修改与撤回</w:t>
      </w:r>
      <w:bookmarkEnd w:id="125"/>
      <w:bookmarkEnd w:id="126"/>
      <w:bookmarkEnd w:id="127"/>
      <w:bookmarkEnd w:id="128"/>
      <w:bookmarkEnd w:id="129"/>
      <w:bookmarkEnd w:id="130"/>
    </w:p>
    <w:p w14:paraId="2C708BC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4.3.1 在本章第4.2.1项规定的投标截止时间前，投标人可以修改或撤回已递交的投标文件，但应以书面形式通知招标人。</w:t>
      </w:r>
    </w:p>
    <w:p w14:paraId="73BB249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4.3.2 投标人修改或撤回已递交投标文件的书面通知应按照本章第3.7.3项的要求签字或盖章。招标人收到书面通知后，向投标人出具签收凭证。</w:t>
      </w:r>
    </w:p>
    <w:p w14:paraId="5970691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kern w:val="0"/>
          <w:sz w:val="21"/>
          <w:szCs w:val="21"/>
          <w:highlight w:val="none"/>
        </w:rPr>
        <w:t>4.3.3 修改的内容为投标文件的组成部分。修改的投标文件应按照本章第3条、第4条规定进行编制、密封、标</w:t>
      </w:r>
      <w:r>
        <w:rPr>
          <w:rFonts w:ascii="Times New Roman" w:hAnsi="Times New Roman" w:eastAsia="方正仿宋_GBK" w:cs="Times New Roman"/>
          <w:color w:val="auto"/>
          <w:kern w:val="0"/>
          <w:sz w:val="21"/>
          <w:szCs w:val="21"/>
          <w:highlight w:val="none"/>
        </w:rPr>
        <w:t>记和递交，并标明“修改”字样。</w:t>
      </w:r>
    </w:p>
    <w:p w14:paraId="2AAE0709">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31" w:name="_Toc317863452"/>
      <w:bookmarkStart w:id="132" w:name="_Toc200513157"/>
      <w:bookmarkStart w:id="133" w:name="_Toc1489"/>
      <w:bookmarkStart w:id="134" w:name="_Toc334774193"/>
      <w:bookmarkStart w:id="135" w:name="_Toc531594762"/>
      <w:r>
        <w:rPr>
          <w:rFonts w:ascii="Times New Roman" w:hAnsi="Times New Roman" w:eastAsia="方正楷体_GBK" w:cs="Times New Roman"/>
          <w:b/>
          <w:color w:val="auto"/>
          <w:w w:val="99"/>
          <w:kern w:val="0"/>
          <w:sz w:val="21"/>
          <w:szCs w:val="21"/>
          <w:highlight w:val="none"/>
          <w:lang w:val="zh-CN"/>
        </w:rPr>
        <w:t>5.开标</w:t>
      </w:r>
      <w:bookmarkEnd w:id="131"/>
      <w:bookmarkEnd w:id="132"/>
      <w:bookmarkEnd w:id="133"/>
      <w:bookmarkEnd w:id="134"/>
      <w:r>
        <w:rPr>
          <w:rFonts w:ascii="Times New Roman" w:hAnsi="Times New Roman" w:eastAsia="方正楷体_GBK" w:cs="Times New Roman"/>
          <w:b/>
          <w:color w:val="auto"/>
          <w:w w:val="99"/>
          <w:kern w:val="0"/>
          <w:sz w:val="21"/>
          <w:szCs w:val="21"/>
          <w:highlight w:val="none"/>
          <w:lang w:val="zh-CN"/>
        </w:rPr>
        <w:t>时间及地点</w:t>
      </w:r>
      <w:bookmarkEnd w:id="135"/>
    </w:p>
    <w:p w14:paraId="54EE95D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36" w:name="_Toc531594763"/>
      <w:r>
        <w:rPr>
          <w:rFonts w:ascii="Times New Roman" w:hAnsi="Times New Roman" w:eastAsia="方正仿宋_GBK" w:cs="Times New Roman"/>
          <w:color w:val="auto"/>
          <w:kern w:val="0"/>
          <w:sz w:val="21"/>
          <w:szCs w:val="21"/>
          <w:highlight w:val="none"/>
        </w:rPr>
        <w:t>开标时间及地点见投标人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color w:val="auto"/>
          <w:kern w:val="0"/>
          <w:sz w:val="21"/>
          <w:szCs w:val="21"/>
          <w:highlight w:val="none"/>
        </w:rPr>
        <w:t>知前附表</w:t>
      </w:r>
      <w:bookmarkEnd w:id="136"/>
    </w:p>
    <w:p w14:paraId="560D6BEE">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37" w:name="_Toc531594764"/>
      <w:r>
        <w:rPr>
          <w:rFonts w:ascii="Times New Roman" w:hAnsi="Times New Roman" w:eastAsia="方正楷体_GBK" w:cs="Times New Roman"/>
          <w:b/>
          <w:color w:val="auto"/>
          <w:w w:val="99"/>
          <w:kern w:val="0"/>
          <w:sz w:val="21"/>
          <w:szCs w:val="21"/>
          <w:highlight w:val="none"/>
          <w:lang w:val="zh-CN"/>
        </w:rPr>
        <w:t>6.评标</w:t>
      </w:r>
      <w:bookmarkEnd w:id="137"/>
    </w:p>
    <w:p w14:paraId="3E6FAFA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38" w:name="_Toc317863456"/>
      <w:bookmarkStart w:id="139" w:name="_Toc325636614"/>
      <w:bookmarkStart w:id="140" w:name="_Toc16186"/>
      <w:bookmarkStart w:id="141" w:name="_Toc531594765"/>
      <w:bookmarkStart w:id="142" w:name="_Toc200513161"/>
      <w:bookmarkStart w:id="143" w:name="_Toc334774197"/>
      <w:r>
        <w:rPr>
          <w:rFonts w:ascii="Times New Roman" w:hAnsi="Times New Roman" w:eastAsia="方正仿宋_GBK" w:cs="Times New Roman"/>
          <w:b/>
          <w:color w:val="auto"/>
          <w:kern w:val="0"/>
          <w:sz w:val="21"/>
          <w:szCs w:val="21"/>
          <w:highlight w:val="none"/>
        </w:rPr>
        <w:t>6.1 评标委员会</w:t>
      </w:r>
      <w:bookmarkEnd w:id="138"/>
      <w:bookmarkEnd w:id="139"/>
      <w:bookmarkEnd w:id="140"/>
      <w:bookmarkEnd w:id="141"/>
      <w:bookmarkEnd w:id="142"/>
      <w:bookmarkEnd w:id="143"/>
    </w:p>
    <w:p w14:paraId="446E095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6.1.1 评标由招标人依法组建的评标委员会负责。评标委员会成员的确定方式见投标人须知前附表。</w:t>
      </w:r>
    </w:p>
    <w:p w14:paraId="19B827B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 评标委员会成员有下列情形之一的，应当回避：</w:t>
      </w:r>
    </w:p>
    <w:p w14:paraId="14ECB3A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6.1.2.1 招标人或投标人的主要负责人的近亲属；</w:t>
      </w:r>
    </w:p>
    <w:p w14:paraId="0682F50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6.1.2.2 项目主管部门或者行政监督部门的人员；</w:t>
      </w:r>
    </w:p>
    <w:p w14:paraId="6BC16BA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6.1.2.3 与投标人有经济利益关系，可能影响对投标公正评审的；</w:t>
      </w:r>
    </w:p>
    <w:p w14:paraId="28EA354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6.1.2.4 曾因在招标、评标以及其他与招标投标有关活动中从事违法行为而受过行政处罚或刑事处罚的。</w:t>
      </w:r>
    </w:p>
    <w:p w14:paraId="00381D2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44" w:name="_Toc317863457"/>
      <w:bookmarkStart w:id="145" w:name="_Toc334774198"/>
      <w:bookmarkStart w:id="146" w:name="_Toc18631"/>
      <w:bookmarkStart w:id="147" w:name="_Toc325636615"/>
      <w:bookmarkStart w:id="148" w:name="_Toc531594766"/>
      <w:bookmarkStart w:id="149" w:name="_Toc200513162"/>
      <w:r>
        <w:rPr>
          <w:rFonts w:ascii="Times New Roman" w:hAnsi="Times New Roman" w:eastAsia="方正仿宋_GBK" w:cs="Times New Roman"/>
          <w:b/>
          <w:color w:val="auto"/>
          <w:kern w:val="0"/>
          <w:sz w:val="21"/>
          <w:szCs w:val="21"/>
          <w:highlight w:val="none"/>
        </w:rPr>
        <w:t>6.2 评标原则</w:t>
      </w:r>
      <w:bookmarkEnd w:id="144"/>
      <w:bookmarkEnd w:id="145"/>
      <w:bookmarkEnd w:id="146"/>
      <w:bookmarkEnd w:id="147"/>
      <w:bookmarkEnd w:id="148"/>
      <w:bookmarkEnd w:id="149"/>
    </w:p>
    <w:p w14:paraId="678CA38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见招标文件第四章</w:t>
      </w:r>
      <w:r>
        <w:rPr>
          <w:rFonts w:ascii="Times New Roman" w:hAnsi="Times New Roman" w:eastAsia="方正仿宋_GBK" w:cs="Times New Roman"/>
          <w:color w:val="auto"/>
          <w:kern w:val="0"/>
          <w:sz w:val="21"/>
          <w:szCs w:val="21"/>
          <w:highlight w:val="none"/>
        </w:rPr>
        <w:t>；</w:t>
      </w:r>
    </w:p>
    <w:p w14:paraId="4F42BC4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6.3 评标</w:t>
      </w:r>
    </w:p>
    <w:p w14:paraId="334B90A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评标委员会按照第四章“评标原则”规定的方法、评审因素、标准和程序对投标文件进行评审。</w:t>
      </w:r>
    </w:p>
    <w:p w14:paraId="3B363CC7">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50" w:name="_Toc334774200"/>
      <w:bookmarkStart w:id="151" w:name="_Toc317863459"/>
      <w:bookmarkStart w:id="152" w:name="_Toc531594767"/>
      <w:bookmarkStart w:id="153" w:name="_Toc5106"/>
      <w:r>
        <w:rPr>
          <w:rFonts w:ascii="Times New Roman" w:hAnsi="Times New Roman" w:eastAsia="方正楷体_GBK" w:cs="Times New Roman"/>
          <w:b/>
          <w:color w:val="auto"/>
          <w:w w:val="99"/>
          <w:kern w:val="0"/>
          <w:sz w:val="21"/>
          <w:szCs w:val="21"/>
          <w:highlight w:val="none"/>
          <w:lang w:val="zh-CN"/>
        </w:rPr>
        <w:t>7.合同授予</w:t>
      </w:r>
      <w:bookmarkEnd w:id="150"/>
      <w:bookmarkEnd w:id="151"/>
      <w:bookmarkEnd w:id="152"/>
      <w:bookmarkEnd w:id="153"/>
    </w:p>
    <w:p w14:paraId="55CB36D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54" w:name="_Toc317863460"/>
      <w:bookmarkStart w:id="155" w:name="_Toc334774201"/>
      <w:bookmarkStart w:id="156" w:name="_Toc200513165"/>
      <w:bookmarkStart w:id="157" w:name="_Toc325636618"/>
      <w:bookmarkStart w:id="158" w:name="_Toc22299"/>
      <w:bookmarkStart w:id="159" w:name="_Toc531594768"/>
      <w:r>
        <w:rPr>
          <w:rFonts w:ascii="Times New Roman" w:hAnsi="Times New Roman" w:eastAsia="方正仿宋_GBK" w:cs="Times New Roman"/>
          <w:b/>
          <w:color w:val="auto"/>
          <w:kern w:val="0"/>
          <w:sz w:val="21"/>
          <w:szCs w:val="21"/>
          <w:highlight w:val="none"/>
        </w:rPr>
        <w:t>7.1 定标方式</w:t>
      </w:r>
      <w:bookmarkEnd w:id="154"/>
      <w:bookmarkEnd w:id="155"/>
      <w:bookmarkEnd w:id="156"/>
      <w:bookmarkEnd w:id="157"/>
      <w:bookmarkEnd w:id="158"/>
      <w:bookmarkEnd w:id="159"/>
    </w:p>
    <w:p w14:paraId="6158B14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除投标人须知前附表规定评标委员会直接确定中标人外，招标人依据评标委员会推荐的中标候选人确定中标人，评标委员会推荐中标候选人的人数见投标人须知前附表。</w:t>
      </w:r>
    </w:p>
    <w:p w14:paraId="0E6B2CC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60" w:name="_Toc325636619"/>
      <w:bookmarkStart w:id="161" w:name="_Toc531594769"/>
      <w:bookmarkStart w:id="162" w:name="_Toc317863461"/>
      <w:bookmarkStart w:id="163" w:name="_Toc334774202"/>
      <w:bookmarkStart w:id="164" w:name="_Toc19729"/>
      <w:bookmarkStart w:id="165" w:name="_Toc200513166"/>
      <w:r>
        <w:rPr>
          <w:rFonts w:ascii="Times New Roman" w:hAnsi="Times New Roman" w:eastAsia="方正仿宋_GBK" w:cs="Times New Roman"/>
          <w:b/>
          <w:color w:val="auto"/>
          <w:kern w:val="0"/>
          <w:sz w:val="21"/>
          <w:szCs w:val="21"/>
          <w:highlight w:val="none"/>
        </w:rPr>
        <w:t>7.2 中标通知</w:t>
      </w:r>
      <w:bookmarkEnd w:id="160"/>
      <w:bookmarkEnd w:id="161"/>
      <w:bookmarkEnd w:id="162"/>
      <w:bookmarkEnd w:id="163"/>
      <w:bookmarkEnd w:id="164"/>
      <w:bookmarkEnd w:id="165"/>
    </w:p>
    <w:p w14:paraId="14FCB81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在本章第 3.3 款规定的投标有效期内，招标人以</w:t>
      </w:r>
      <w:r>
        <w:rPr>
          <w:rFonts w:hint="eastAsia" w:ascii="Times New Roman" w:hAnsi="Times New Roman" w:eastAsia="方正仿宋_GBK" w:cs="Times New Roman"/>
          <w:color w:val="auto"/>
          <w:kern w:val="0"/>
          <w:sz w:val="21"/>
          <w:szCs w:val="21"/>
          <w:highlight w:val="none"/>
          <w:lang w:eastAsia="zh-CN"/>
        </w:rPr>
        <w:t>书面</w:t>
      </w:r>
      <w:r>
        <w:rPr>
          <w:rFonts w:ascii="Times New Roman" w:hAnsi="Times New Roman" w:eastAsia="方正仿宋_GBK" w:cs="Times New Roman"/>
          <w:color w:val="auto"/>
          <w:kern w:val="0"/>
          <w:sz w:val="21"/>
          <w:szCs w:val="21"/>
          <w:highlight w:val="none"/>
        </w:rPr>
        <w:t>的形式向中标人发出中标通知书。</w:t>
      </w:r>
    </w:p>
    <w:p w14:paraId="3F64E37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66" w:name="_Toc325636621"/>
      <w:bookmarkStart w:id="167" w:name="_Toc334774203"/>
      <w:bookmarkStart w:id="168" w:name="_Toc531594770"/>
      <w:bookmarkStart w:id="169" w:name="_Toc9808"/>
      <w:bookmarkStart w:id="170" w:name="_Toc317863463"/>
      <w:r>
        <w:rPr>
          <w:rFonts w:ascii="Times New Roman" w:hAnsi="Times New Roman" w:eastAsia="方正仿宋_GBK" w:cs="Times New Roman"/>
          <w:b/>
          <w:color w:val="auto"/>
          <w:kern w:val="0"/>
          <w:sz w:val="21"/>
          <w:szCs w:val="21"/>
          <w:highlight w:val="none"/>
        </w:rPr>
        <w:t>7.3 签订合同</w:t>
      </w:r>
      <w:bookmarkEnd w:id="166"/>
      <w:bookmarkEnd w:id="167"/>
      <w:bookmarkEnd w:id="168"/>
      <w:bookmarkEnd w:id="169"/>
      <w:bookmarkEnd w:id="170"/>
    </w:p>
    <w:p w14:paraId="623493F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744963F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7.3.2 发出中标通知书后，招标人无正当理由拒签合同的，招标人向中标人退还投标保证金；给中标人造成损失的，还应当赔偿损失。</w:t>
      </w:r>
    </w:p>
    <w:p w14:paraId="5661766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7.3.3 投标人中标后又提出对招标文件中各项条款的不实质性响应，经双方协商，在7.3.1条规定的时间内不能达成一致意见的，招标人有权取消其中标资格，并没收其投标保证金。</w:t>
      </w:r>
    </w:p>
    <w:p w14:paraId="0BC9A68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7.3.4 签订合同后，</w:t>
      </w:r>
      <w:r>
        <w:rPr>
          <w:rFonts w:hint="eastAsia" w:ascii="Times New Roman" w:hAnsi="Times New Roman" w:eastAsia="方正仿宋_GBK" w:cs="Times New Roman"/>
          <w:color w:val="auto"/>
          <w:kern w:val="0"/>
          <w:sz w:val="21"/>
          <w:szCs w:val="21"/>
          <w:highlight w:val="none"/>
          <w:lang w:eastAsia="zh-CN"/>
        </w:rPr>
        <w:t>中标人</w:t>
      </w:r>
      <w:r>
        <w:rPr>
          <w:rFonts w:ascii="Times New Roman" w:hAnsi="Times New Roman" w:eastAsia="方正仿宋_GBK" w:cs="Times New Roman"/>
          <w:color w:val="auto"/>
          <w:kern w:val="0"/>
          <w:sz w:val="21"/>
          <w:szCs w:val="21"/>
          <w:highlight w:val="none"/>
        </w:rPr>
        <w:t>放弃</w:t>
      </w:r>
      <w:r>
        <w:rPr>
          <w:rFonts w:hint="eastAsia" w:ascii="Times New Roman" w:hAnsi="Times New Roman" w:eastAsia="方正仿宋_GBK" w:cs="Times New Roman"/>
          <w:color w:val="auto"/>
          <w:kern w:val="0"/>
          <w:sz w:val="21"/>
          <w:szCs w:val="21"/>
          <w:highlight w:val="none"/>
          <w:lang w:val="en-US" w:eastAsia="zh-CN"/>
        </w:rPr>
        <w:t>中标</w:t>
      </w:r>
      <w:r>
        <w:rPr>
          <w:rFonts w:ascii="Times New Roman" w:hAnsi="Times New Roman" w:eastAsia="方正仿宋_GBK" w:cs="Times New Roman"/>
          <w:color w:val="auto"/>
          <w:kern w:val="0"/>
          <w:sz w:val="21"/>
          <w:szCs w:val="21"/>
          <w:highlight w:val="none"/>
        </w:rPr>
        <w:t>权或因自身原因（如资金不保证，设备、机具、劳动力等资源不保证,无法提交履约担保等等）不能履行合同，</w:t>
      </w:r>
      <w:r>
        <w:rPr>
          <w:rFonts w:hint="eastAsia" w:ascii="Times New Roman" w:hAnsi="Times New Roman" w:eastAsia="方正仿宋_GBK" w:cs="Times New Roman"/>
          <w:color w:val="auto"/>
          <w:kern w:val="0"/>
          <w:sz w:val="21"/>
          <w:szCs w:val="21"/>
          <w:highlight w:val="none"/>
        </w:rPr>
        <w:t>招标</w:t>
      </w:r>
      <w:r>
        <w:rPr>
          <w:rFonts w:ascii="Times New Roman" w:hAnsi="Times New Roman" w:eastAsia="方正仿宋_GBK" w:cs="Times New Roman"/>
          <w:color w:val="auto"/>
          <w:kern w:val="0"/>
          <w:sz w:val="21"/>
          <w:szCs w:val="21"/>
          <w:highlight w:val="none"/>
        </w:rPr>
        <w:t>人有权终止合同，并没收其投标保证金及履约保证金。</w:t>
      </w:r>
    </w:p>
    <w:p w14:paraId="1BABF1C6">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71" w:name="_Toc334774204"/>
      <w:bookmarkStart w:id="172" w:name="_Toc531594771"/>
      <w:bookmarkStart w:id="173" w:name="_Toc317863464"/>
      <w:bookmarkStart w:id="174" w:name="_Toc15584"/>
      <w:bookmarkStart w:id="175" w:name="_Toc317863467"/>
      <w:bookmarkStart w:id="176" w:name="_Toc200513172"/>
      <w:bookmarkStart w:id="177" w:name="_Toc334774207"/>
      <w:bookmarkStart w:id="178" w:name="_Toc11895"/>
      <w:bookmarkStart w:id="179" w:name="_Toc531594773"/>
      <w:r>
        <w:rPr>
          <w:rFonts w:ascii="Times New Roman" w:hAnsi="Times New Roman" w:eastAsia="方正楷体_GBK" w:cs="Times New Roman"/>
          <w:b/>
          <w:color w:val="auto"/>
          <w:w w:val="99"/>
          <w:kern w:val="0"/>
          <w:sz w:val="21"/>
          <w:szCs w:val="21"/>
          <w:highlight w:val="none"/>
          <w:lang w:val="zh-CN"/>
        </w:rPr>
        <w:t>8.重新招标和不再招标</w:t>
      </w:r>
      <w:bookmarkEnd w:id="171"/>
      <w:bookmarkEnd w:id="172"/>
      <w:bookmarkEnd w:id="173"/>
      <w:bookmarkEnd w:id="174"/>
    </w:p>
    <w:p w14:paraId="6617643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color w:val="auto"/>
          <w:kern w:val="0"/>
          <w:sz w:val="21"/>
          <w:szCs w:val="21"/>
          <w:highlight w:val="none"/>
        </w:rPr>
      </w:pPr>
      <w:r>
        <w:rPr>
          <w:rFonts w:hint="eastAsia" w:ascii="Times New Roman" w:hAnsi="Times New Roman" w:eastAsia="方正仿宋_GBK" w:cs="Times New Roman"/>
          <w:b/>
          <w:color w:val="auto"/>
          <w:kern w:val="0"/>
          <w:sz w:val="21"/>
          <w:szCs w:val="21"/>
          <w:highlight w:val="none"/>
        </w:rPr>
        <w:t>8.1 重新招标</w:t>
      </w:r>
    </w:p>
    <w:p w14:paraId="3014C11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r>
        <w:rPr>
          <w:rFonts w:hint="eastAsia" w:ascii="Times New Roman" w:hAnsi="Times New Roman" w:eastAsia="方正仿宋_GBK" w:cs="Times New Roman"/>
          <w:b w:val="0"/>
          <w:bCs/>
          <w:color w:val="auto"/>
          <w:kern w:val="0"/>
          <w:sz w:val="21"/>
          <w:szCs w:val="21"/>
          <w:highlight w:val="none"/>
        </w:rPr>
        <w:t>有下列情形之一的，招标人将重新招标</w:t>
      </w:r>
    </w:p>
    <w:p w14:paraId="033A27D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r>
        <w:rPr>
          <w:rFonts w:hint="eastAsia" w:ascii="Times New Roman" w:hAnsi="Times New Roman" w:eastAsia="方正仿宋_GBK" w:cs="Times New Roman"/>
          <w:b w:val="0"/>
          <w:bCs/>
          <w:color w:val="auto"/>
          <w:kern w:val="0"/>
          <w:sz w:val="21"/>
          <w:szCs w:val="21"/>
          <w:highlight w:val="none"/>
        </w:rPr>
        <w:t>（1）投标截止时间止，投标人少于三个的；</w:t>
      </w:r>
    </w:p>
    <w:p w14:paraId="7E170BE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r>
        <w:rPr>
          <w:rFonts w:hint="eastAsia" w:ascii="Times New Roman" w:hAnsi="Times New Roman" w:eastAsia="方正仿宋_GBK" w:cs="Times New Roman"/>
          <w:b w:val="0"/>
          <w:bCs/>
          <w:color w:val="auto"/>
          <w:kern w:val="0"/>
          <w:sz w:val="21"/>
          <w:szCs w:val="21"/>
          <w:highlight w:val="none"/>
        </w:rPr>
        <w:t>（2）评标后合格的投标人少于三个的。</w:t>
      </w:r>
    </w:p>
    <w:p w14:paraId="1DC2A1C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color w:val="auto"/>
          <w:kern w:val="0"/>
          <w:sz w:val="21"/>
          <w:szCs w:val="21"/>
          <w:highlight w:val="none"/>
        </w:rPr>
      </w:pPr>
      <w:r>
        <w:rPr>
          <w:rFonts w:hint="eastAsia" w:ascii="Times New Roman" w:hAnsi="Times New Roman" w:eastAsia="方正仿宋_GBK" w:cs="Times New Roman"/>
          <w:b/>
          <w:color w:val="auto"/>
          <w:kern w:val="0"/>
          <w:sz w:val="21"/>
          <w:szCs w:val="21"/>
          <w:highlight w:val="none"/>
        </w:rPr>
        <w:t>8.2 不再招标</w:t>
      </w:r>
    </w:p>
    <w:p w14:paraId="00C2225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r>
        <w:rPr>
          <w:rFonts w:hint="eastAsia" w:ascii="Times New Roman" w:hAnsi="Times New Roman" w:eastAsia="方正仿宋_GBK" w:cs="Times New Roman"/>
          <w:b w:val="0"/>
          <w:bCs/>
          <w:color w:val="auto"/>
          <w:kern w:val="0"/>
          <w:sz w:val="21"/>
          <w:szCs w:val="21"/>
          <w:highlight w:val="none"/>
        </w:rPr>
        <w:t>若调整采购需求重新招标仍然失败的，可以采用竞争性谈判或单一来源的方式执行本项目。</w:t>
      </w:r>
    </w:p>
    <w:p w14:paraId="66F6D98B">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r>
        <w:rPr>
          <w:rFonts w:ascii="Times New Roman" w:hAnsi="Times New Roman" w:eastAsia="方正楷体_GBK" w:cs="Times New Roman"/>
          <w:b/>
          <w:color w:val="auto"/>
          <w:w w:val="99"/>
          <w:kern w:val="0"/>
          <w:sz w:val="21"/>
          <w:szCs w:val="21"/>
          <w:highlight w:val="none"/>
          <w:lang w:val="zh-CN"/>
        </w:rPr>
        <w:t>9.纪律和监督</w:t>
      </w:r>
      <w:bookmarkEnd w:id="175"/>
      <w:bookmarkEnd w:id="176"/>
      <w:bookmarkEnd w:id="177"/>
      <w:bookmarkEnd w:id="178"/>
      <w:bookmarkEnd w:id="179"/>
    </w:p>
    <w:p w14:paraId="174588C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ascii="Times New Roman" w:hAnsi="Times New Roman" w:eastAsia="方正仿宋_GBK" w:cs="Times New Roman"/>
          <w:b/>
          <w:color w:val="auto"/>
          <w:kern w:val="0"/>
          <w:sz w:val="21"/>
          <w:szCs w:val="21"/>
          <w:highlight w:val="none"/>
        </w:rPr>
      </w:pPr>
      <w:bookmarkStart w:id="180" w:name="_Toc1463"/>
      <w:bookmarkStart w:id="181" w:name="_Toc317863468"/>
      <w:bookmarkStart w:id="182" w:name="_Toc531594774"/>
      <w:bookmarkStart w:id="183" w:name="_Toc325636626"/>
      <w:bookmarkStart w:id="184" w:name="_Toc200513173"/>
      <w:bookmarkStart w:id="185" w:name="_Toc334774208"/>
      <w:r>
        <w:rPr>
          <w:rFonts w:ascii="Times New Roman" w:hAnsi="Times New Roman" w:eastAsia="方正仿宋_GBK" w:cs="Times New Roman"/>
          <w:b/>
          <w:color w:val="auto"/>
          <w:kern w:val="0"/>
          <w:sz w:val="21"/>
          <w:szCs w:val="21"/>
          <w:highlight w:val="none"/>
        </w:rPr>
        <w:t>9.1 对招标人的纪律要求</w:t>
      </w:r>
      <w:bookmarkEnd w:id="180"/>
      <w:bookmarkEnd w:id="181"/>
      <w:bookmarkEnd w:id="182"/>
      <w:bookmarkEnd w:id="183"/>
      <w:bookmarkEnd w:id="184"/>
      <w:bookmarkEnd w:id="185"/>
    </w:p>
    <w:p w14:paraId="3D2D93B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招标人不得泄漏招标投标活动中应当保密的情况和资料，不得与投标人串通损害国家利益、社会公共利益或者他人合法权益。</w:t>
      </w:r>
    </w:p>
    <w:p w14:paraId="3EEB573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86" w:name="_Toc334774209"/>
      <w:bookmarkStart w:id="187" w:name="_Toc531594775"/>
      <w:bookmarkStart w:id="188" w:name="_Toc325636627"/>
      <w:bookmarkStart w:id="189" w:name="_Toc317863469"/>
      <w:bookmarkStart w:id="190" w:name="_Toc270"/>
      <w:bookmarkStart w:id="191" w:name="_Toc200513174"/>
      <w:r>
        <w:rPr>
          <w:rFonts w:ascii="Times New Roman" w:hAnsi="Times New Roman" w:eastAsia="方正仿宋_GBK" w:cs="Times New Roman"/>
          <w:b/>
          <w:color w:val="auto"/>
          <w:kern w:val="0"/>
          <w:sz w:val="21"/>
          <w:szCs w:val="21"/>
          <w:highlight w:val="none"/>
        </w:rPr>
        <w:t>9.2 对投标人的纪律要求</w:t>
      </w:r>
      <w:bookmarkEnd w:id="186"/>
      <w:bookmarkEnd w:id="187"/>
      <w:bookmarkEnd w:id="188"/>
      <w:bookmarkEnd w:id="189"/>
      <w:bookmarkEnd w:id="190"/>
      <w:bookmarkEnd w:id="191"/>
    </w:p>
    <w:p w14:paraId="7956E72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color w:val="auto"/>
          <w:kern w:val="0"/>
          <w:sz w:val="21"/>
          <w:szCs w:val="21"/>
          <w:highlight w:val="none"/>
        </w:rPr>
        <w:t>投标人不得相互串通投标或者与招标人串通投标，不得向招标人或者评标委员会成员行贿谋取中标，不得以他人名义投标或者以其他方式弄虚作假骗取中标；投标人不得</w:t>
      </w:r>
      <w:r>
        <w:rPr>
          <w:rFonts w:ascii="Times New Roman" w:hAnsi="Times New Roman" w:eastAsia="方正仿宋_GBK" w:cs="Times New Roman"/>
          <w:kern w:val="0"/>
          <w:sz w:val="21"/>
          <w:szCs w:val="21"/>
          <w:highlight w:val="none"/>
        </w:rPr>
        <w:t>以任何方式干扰、影响评标工作。</w:t>
      </w:r>
    </w:p>
    <w:p w14:paraId="12C94C6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92" w:name="_Toc200513175"/>
      <w:bookmarkStart w:id="193" w:name="_Toc317863470"/>
      <w:bookmarkStart w:id="194" w:name="_Toc23543"/>
      <w:bookmarkStart w:id="195" w:name="_Toc334774210"/>
      <w:bookmarkStart w:id="196" w:name="_Toc325636628"/>
      <w:bookmarkStart w:id="197" w:name="_Toc531594776"/>
      <w:r>
        <w:rPr>
          <w:rFonts w:ascii="Times New Roman" w:hAnsi="Times New Roman" w:eastAsia="方正仿宋_GBK" w:cs="Times New Roman"/>
          <w:b/>
          <w:kern w:val="0"/>
          <w:sz w:val="21"/>
          <w:szCs w:val="21"/>
          <w:highlight w:val="none"/>
        </w:rPr>
        <w:t>9.3 对评标委员会成员的纪律要求</w:t>
      </w:r>
      <w:bookmarkEnd w:id="192"/>
      <w:bookmarkEnd w:id="193"/>
      <w:bookmarkEnd w:id="194"/>
      <w:bookmarkEnd w:id="195"/>
      <w:bookmarkEnd w:id="196"/>
      <w:bookmarkEnd w:id="197"/>
    </w:p>
    <w:p w14:paraId="086EC8D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16ECC08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98" w:name="_Toc18783"/>
      <w:bookmarkStart w:id="199" w:name="_Toc325636629"/>
      <w:bookmarkStart w:id="200" w:name="_Toc13285"/>
      <w:bookmarkStart w:id="201" w:name="_Toc317863471"/>
      <w:bookmarkStart w:id="202" w:name="_Toc334774211"/>
      <w:bookmarkStart w:id="203" w:name="_Toc531594777"/>
      <w:bookmarkStart w:id="204" w:name="_Toc200513176"/>
      <w:r>
        <w:rPr>
          <w:rFonts w:ascii="Times New Roman" w:hAnsi="Times New Roman" w:eastAsia="方正仿宋_GBK" w:cs="Times New Roman"/>
          <w:b/>
          <w:kern w:val="0"/>
          <w:sz w:val="21"/>
          <w:szCs w:val="21"/>
          <w:highlight w:val="none"/>
        </w:rPr>
        <w:t>9.4 对与评标活动有关的工作人员的纪律要求</w:t>
      </w:r>
      <w:bookmarkEnd w:id="198"/>
      <w:bookmarkEnd w:id="199"/>
      <w:bookmarkEnd w:id="200"/>
      <w:bookmarkEnd w:id="201"/>
      <w:bookmarkEnd w:id="202"/>
      <w:bookmarkEnd w:id="203"/>
      <w:bookmarkEnd w:id="204"/>
    </w:p>
    <w:p w14:paraId="7EF323B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5525A1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205" w:name="_Toc317863472"/>
      <w:bookmarkStart w:id="206" w:name="_Toc13124"/>
      <w:bookmarkStart w:id="207" w:name="_Toc17360"/>
      <w:bookmarkStart w:id="208" w:name="_Toc200513177"/>
      <w:bookmarkStart w:id="209" w:name="_Toc325636630"/>
      <w:bookmarkStart w:id="210" w:name="_Toc531594778"/>
      <w:bookmarkStart w:id="211" w:name="_Toc334774212"/>
      <w:r>
        <w:rPr>
          <w:rFonts w:ascii="Times New Roman" w:hAnsi="Times New Roman" w:eastAsia="方正仿宋_GBK" w:cs="Times New Roman"/>
          <w:b/>
          <w:kern w:val="0"/>
          <w:sz w:val="21"/>
          <w:szCs w:val="21"/>
          <w:highlight w:val="none"/>
        </w:rPr>
        <w:t>9.5 投诉</w:t>
      </w:r>
      <w:bookmarkEnd w:id="205"/>
      <w:bookmarkEnd w:id="206"/>
      <w:bookmarkEnd w:id="207"/>
      <w:bookmarkEnd w:id="208"/>
      <w:bookmarkEnd w:id="209"/>
      <w:bookmarkEnd w:id="210"/>
      <w:bookmarkEnd w:id="211"/>
    </w:p>
    <w:p w14:paraId="7A4893B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投标人和其他利害关系人认为本次招标活动违反法律、法规和规章规定的，有权向学院有关行政监督部门投诉。</w:t>
      </w:r>
    </w:p>
    <w:p w14:paraId="44A8B51E">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212" w:name="_Toc531594779"/>
      <w:bookmarkStart w:id="213" w:name="_Toc14201"/>
      <w:bookmarkStart w:id="214" w:name="_Toc6107"/>
      <w:bookmarkStart w:id="215" w:name="_Toc334774213"/>
      <w:r>
        <w:rPr>
          <w:rFonts w:ascii="Times New Roman" w:hAnsi="Times New Roman" w:eastAsia="方正楷体_GBK" w:cs="Times New Roman"/>
          <w:b/>
          <w:w w:val="99"/>
          <w:kern w:val="0"/>
          <w:sz w:val="21"/>
          <w:szCs w:val="21"/>
          <w:highlight w:val="none"/>
          <w:lang w:val="zh-CN"/>
        </w:rPr>
        <w:t>10.其他</w:t>
      </w:r>
      <w:bookmarkEnd w:id="212"/>
      <w:bookmarkEnd w:id="213"/>
      <w:bookmarkEnd w:id="214"/>
      <w:bookmarkEnd w:id="215"/>
    </w:p>
    <w:p w14:paraId="2923E86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其他补充内容要</w:t>
      </w:r>
      <w:r>
        <w:rPr>
          <w:rFonts w:ascii="Times New Roman" w:hAnsi="Times New Roman" w:eastAsia="方正仿宋_GBK" w:cs="Times New Roman"/>
          <w:color w:val="auto"/>
          <w:kern w:val="0"/>
          <w:sz w:val="21"/>
          <w:szCs w:val="21"/>
          <w:highlight w:val="none"/>
        </w:rPr>
        <w:t>求见投标人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color w:val="auto"/>
          <w:kern w:val="0"/>
          <w:sz w:val="21"/>
          <w:szCs w:val="21"/>
          <w:highlight w:val="none"/>
        </w:rPr>
        <w:t>知内容和</w:t>
      </w:r>
      <w:r>
        <w:rPr>
          <w:rFonts w:ascii="Times New Roman" w:hAnsi="Times New Roman" w:eastAsia="方正仿宋_GBK" w:cs="Times New Roman"/>
          <w:kern w:val="0"/>
          <w:sz w:val="21"/>
          <w:szCs w:val="21"/>
          <w:highlight w:val="none"/>
        </w:rPr>
        <w:t>前附表。</w:t>
      </w:r>
    </w:p>
    <w:p w14:paraId="4A159302">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kern w:val="0"/>
          <w:sz w:val="32"/>
          <w:szCs w:val="32"/>
          <w:highlight w:val="none"/>
        </w:rPr>
      </w:pPr>
    </w:p>
    <w:p w14:paraId="43F78CE2">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kern w:val="0"/>
          <w:sz w:val="32"/>
          <w:szCs w:val="32"/>
          <w:highlight w:val="none"/>
        </w:rPr>
      </w:pPr>
    </w:p>
    <w:p w14:paraId="2C8792BC">
      <w:pPr>
        <w:keepNext w:val="0"/>
        <w:keepLines w:val="0"/>
        <w:pageBreakBefore w:val="0"/>
        <w:widowControl w:val="0"/>
        <w:kinsoku/>
        <w:wordWrap/>
        <w:overflowPunct/>
        <w:topLinePunct w:val="0"/>
        <w:bidi w:val="0"/>
        <w:spacing w:line="240" w:lineRule="exact"/>
        <w:textAlignment w:val="auto"/>
        <w:rPr>
          <w:rFonts w:ascii="Times New Roman" w:hAnsi="Times New Roman" w:eastAsia="方正仿宋_GBK" w:cs="Times New Roman"/>
          <w:kern w:val="0"/>
          <w:sz w:val="32"/>
          <w:szCs w:val="32"/>
          <w:highlight w:val="none"/>
        </w:rPr>
      </w:pPr>
      <w:r>
        <w:rPr>
          <w:rFonts w:ascii="Times New Roman" w:hAnsi="Times New Roman" w:eastAsia="方正仿宋_GBK" w:cs="Times New Roman"/>
          <w:kern w:val="0"/>
          <w:sz w:val="32"/>
          <w:szCs w:val="32"/>
          <w:highlight w:val="none"/>
        </w:rPr>
        <w:br w:type="page"/>
      </w:r>
    </w:p>
    <w:p w14:paraId="0A4886AA">
      <w:pPr>
        <w:pStyle w:val="2"/>
        <w:numPr>
          <w:ilvl w:val="0"/>
          <w:numId w:val="0"/>
        </w:numPr>
        <w:spacing w:before="0" w:after="0" w:line="600" w:lineRule="exact"/>
        <w:ind w:firstLine="880" w:firstLineChars="200"/>
        <w:jc w:val="center"/>
        <w:rPr>
          <w:rFonts w:hint="default" w:ascii="Times New Roman" w:hAnsi="Times New Roman" w:eastAsia="方正小标宋_GBK" w:cs="Times New Roman"/>
        </w:rPr>
      </w:pPr>
      <w:bookmarkStart w:id="216" w:name="_Toc10725332"/>
      <w:bookmarkStart w:id="217" w:name="_第三章 招标数量及参数要求"/>
      <w:r>
        <w:rPr>
          <w:rFonts w:hint="default" w:ascii="Times New Roman" w:hAnsi="Times New Roman" w:eastAsia="方正小标宋_GBK" w:cs="Times New Roman"/>
        </w:rPr>
        <w:t>第三章 招标数量及参数要求</w:t>
      </w:r>
      <w:bookmarkEnd w:id="216"/>
    </w:p>
    <w:bookmarkEnd w:id="217"/>
    <w:p w14:paraId="22DBA840"/>
    <w:p w14:paraId="00753E62">
      <w:pPr>
        <w:widowControl/>
        <w:spacing w:line="600" w:lineRule="exact"/>
        <w:ind w:firstLine="560" w:firstLineChars="200"/>
        <w:jc w:val="left"/>
        <w:rPr>
          <w:rFonts w:ascii="Times New Roman" w:hAnsi="Times New Roman" w:eastAsia="方正小标宋_GBK" w:cs="Times New Roman"/>
          <w:b/>
          <w:bCs/>
          <w:sz w:val="28"/>
          <w:szCs w:val="28"/>
          <w:highlight w:val="none"/>
        </w:rPr>
      </w:pPr>
      <w:r>
        <w:rPr>
          <w:rFonts w:ascii="Times New Roman" w:hAnsi="Times New Roman" w:eastAsia="方正小标宋_GBK" w:cs="Times New Roman"/>
          <w:b/>
          <w:bCs/>
          <w:sz w:val="28"/>
          <w:szCs w:val="28"/>
          <w:highlight w:val="none"/>
        </w:rPr>
        <w:t>以</w:t>
      </w:r>
      <w:r>
        <w:rPr>
          <w:rFonts w:hint="eastAsia" w:ascii="Times New Roman" w:hAnsi="Times New Roman" w:eastAsia="方正小标宋_GBK" w:cs="Times New Roman"/>
          <w:b/>
          <w:bCs/>
          <w:sz w:val="28"/>
          <w:szCs w:val="28"/>
          <w:highlight w:val="none"/>
        </w:rPr>
        <w:t>下</w:t>
      </w:r>
      <w:r>
        <w:rPr>
          <w:rFonts w:ascii="Times New Roman" w:hAnsi="Times New Roman" w:eastAsia="方正小标宋_GBK" w:cs="Times New Roman"/>
          <w:b/>
          <w:bCs/>
          <w:sz w:val="28"/>
          <w:szCs w:val="28"/>
          <w:highlight w:val="none"/>
        </w:rPr>
        <w:t>资料仅作为投标参考，实际工程量以投标人现场踏勘后自行测算为准。投标人根据招标人提供的资料，结合现场的实际情况，自行编制设计方案</w:t>
      </w:r>
      <w:r>
        <w:rPr>
          <w:rFonts w:hint="eastAsia" w:ascii="Times New Roman" w:hAnsi="Times New Roman" w:eastAsia="方正小标宋_GBK" w:cs="Times New Roman"/>
          <w:b/>
          <w:bCs/>
          <w:sz w:val="28"/>
          <w:szCs w:val="28"/>
          <w:highlight w:val="none"/>
        </w:rPr>
        <w:t>。</w:t>
      </w:r>
    </w:p>
    <w:p w14:paraId="6F82279E">
      <w:pPr>
        <w:spacing w:line="36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一、项目概述</w:t>
      </w:r>
    </w:p>
    <w:p w14:paraId="5D55F5FD">
      <w:pPr>
        <w:spacing w:line="360" w:lineRule="auto"/>
        <w:ind w:firstLine="560" w:firstLineChars="200"/>
        <w:rPr>
          <w:rFonts w:hint="default" w:ascii="宋体" w:hAnsi="宋体" w:eastAsia="宋体" w:cs="宋体"/>
          <w:sz w:val="28"/>
          <w:szCs w:val="28"/>
          <w:highlight w:val="none"/>
          <w:lang w:val="en-US"/>
        </w:rPr>
      </w:pPr>
      <w:r>
        <w:rPr>
          <w:rFonts w:hint="eastAsia" w:ascii="宋体" w:hAnsi="宋体" w:eastAsia="宋体" w:cs="宋体"/>
          <w:sz w:val="28"/>
          <w:szCs w:val="28"/>
          <w:highlight w:val="none"/>
        </w:rPr>
        <w:t>本次采购</w:t>
      </w:r>
      <w:r>
        <w:rPr>
          <w:rFonts w:hint="eastAsia" w:ascii="宋体" w:hAnsi="宋体" w:eastAsia="宋体" w:cs="宋体"/>
          <w:sz w:val="28"/>
          <w:szCs w:val="28"/>
          <w:highlight w:val="none"/>
          <w:lang w:val="en-US" w:eastAsia="zh-CN"/>
        </w:rPr>
        <w:t>为</w:t>
      </w:r>
      <w:r>
        <w:rPr>
          <w:rFonts w:hint="eastAsia" w:ascii="宋体" w:hAnsi="宋体" w:eastAsia="宋体" w:cs="宋体"/>
          <w:sz w:val="28"/>
          <w:szCs w:val="28"/>
          <w:highlight w:val="none"/>
        </w:rPr>
        <w:t>重庆财经学院产业园</w:t>
      </w:r>
      <w:r>
        <w:rPr>
          <w:rFonts w:hint="eastAsia" w:ascii="宋体" w:hAnsi="宋体" w:eastAsia="宋体" w:cs="宋体"/>
          <w:sz w:val="28"/>
          <w:szCs w:val="28"/>
          <w:highlight w:val="none"/>
          <w:lang w:val="en-US" w:eastAsia="zh-CN"/>
        </w:rPr>
        <w:t>3、4、5幢部分单元楼层空调</w:t>
      </w:r>
      <w:r>
        <w:rPr>
          <w:rFonts w:hint="eastAsia" w:ascii="宋体" w:hAnsi="宋体" w:eastAsia="宋体" w:cs="宋体"/>
          <w:sz w:val="28"/>
          <w:szCs w:val="28"/>
          <w:highlight w:val="none"/>
        </w:rPr>
        <w:t>采购项目</w:t>
      </w:r>
      <w:r>
        <w:rPr>
          <w:rFonts w:hint="eastAsia" w:ascii="宋体" w:hAnsi="宋体" w:eastAsia="宋体" w:cs="宋体"/>
          <w:sz w:val="28"/>
          <w:szCs w:val="28"/>
          <w:highlight w:val="none"/>
          <w:lang w:val="en-US" w:eastAsia="zh-CN"/>
        </w:rPr>
        <w:t>(3幢4单元1楼、3幢4单元5楼、4幢2单元1楼、4幢3单元4楼、4幢3单元5楼、4幢4单元1楼、4幢4单元3楼、4幢4单元4楼、4幢4单元5楼、4幢4单元6楼、4幢4单元7楼、5幢2单元5楼、5幢2单元6楼、5幢2单元7楼)。</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共14套，每栋每单元每层为一套</w:t>
      </w:r>
      <w:r>
        <w:rPr>
          <w:rFonts w:hint="eastAsia" w:ascii="宋体" w:hAnsi="宋体" w:eastAsia="宋体" w:cs="宋体"/>
          <w:sz w:val="28"/>
          <w:szCs w:val="28"/>
          <w:highlight w:val="none"/>
          <w:lang w:eastAsia="zh-CN"/>
        </w:rPr>
        <w:t>）</w:t>
      </w:r>
    </w:p>
    <w:p w14:paraId="1AEFFA66">
      <w:pPr>
        <w:spacing w:line="36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二、技术要求</w:t>
      </w:r>
    </w:p>
    <w:p w14:paraId="4AF12A76">
      <w:pPr>
        <w:numPr>
          <w:ilvl w:val="1"/>
          <w:numId w:val="0"/>
        </w:numPr>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b/>
          <w:bCs/>
          <w:sz w:val="28"/>
          <w:szCs w:val="28"/>
          <w:highlight w:val="none"/>
        </w:rPr>
        <w:t>技术参数要求</w:t>
      </w:r>
    </w:p>
    <w:p w14:paraId="2A6AB7B0">
      <w:pPr>
        <w:spacing w:line="360" w:lineRule="auto"/>
        <w:ind w:firstLine="560" w:firstLineChars="200"/>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（1）所投多联机产品应符合国家能效标准，9HP-24HP单模块全年性能系数（APF）需达到国家一级能效水平，提供中国能效标识网备案数据截图。</w:t>
      </w:r>
    </w:p>
    <w:p w14:paraId="43EBD0BB">
      <w:pPr>
        <w:spacing w:line="360" w:lineRule="auto"/>
        <w:ind w:firstLine="560" w:firstLineChars="200"/>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（2）投标多联机室外机应采用变频涡旋压缩机，具备冬季制热强化功能，压缩机需配备完善的保护机制，保障设备长期稳定运行。</w:t>
      </w:r>
    </w:p>
    <w:p w14:paraId="194D1FA7">
      <w:pPr>
        <w:spacing w:line="360" w:lineRule="auto"/>
        <w:ind w:firstLine="560" w:firstLineChars="200"/>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（3）所投多联机空调产品应能适应常规极端环境工况，满足高温制冷、低温制热运行需求，确保不同气候条件下正常使用。</w:t>
      </w:r>
    </w:p>
    <w:p w14:paraId="2E2525D2">
      <w:pPr>
        <w:spacing w:line="360" w:lineRule="auto"/>
        <w:ind w:firstLine="560" w:firstLineChars="200"/>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（4）所投多联机室外机应具备低待机功率设计，提升设备整体节能性，提供相关检测证明文件。</w:t>
      </w:r>
    </w:p>
    <w:p w14:paraId="35FCB9BE">
      <w:pPr>
        <w:spacing w:line="360" w:lineRule="auto"/>
        <w:ind w:firstLine="560" w:firstLineChars="200"/>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（5）所投多联机室外机应具备过冷设计，有效提升系统制冷、制热效率及稳定性。</w:t>
      </w:r>
    </w:p>
    <w:p w14:paraId="7191E824">
      <w:pPr>
        <w:spacing w:line="360" w:lineRule="auto"/>
        <w:ind w:firstLine="560" w:firstLineChars="200"/>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（6）所投多联机产品应具备良好的防护性能，满足户外使用的防淋雨要求，提供第三方权威检测机构出具的相关检测报告复印件。</w:t>
      </w:r>
    </w:p>
    <w:p w14:paraId="2B87B577">
      <w:pPr>
        <w:spacing w:line="360" w:lineRule="auto"/>
        <w:ind w:firstLine="560" w:firstLineChars="200"/>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（7）所投多联机组应具备防腐蚀性能，防腐蚀等级符合户外使用标准，提供第三方国家权威检测机构出具的防腐蚀等级认证证书复印件及相关佐证材料。</w:t>
      </w:r>
    </w:p>
    <w:p w14:paraId="10C7E8D2">
      <w:pPr>
        <w:spacing w:line="360" w:lineRule="auto"/>
        <w:ind w:firstLine="560" w:firstLineChars="200"/>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（8）室内机应具备便捷维修功能，故障维修时可实现单独操作，不影响整个系统正常运行，提供相关证明文件（公开发行产品彩色样册或制造商证明文件均可）。</w:t>
      </w:r>
    </w:p>
    <w:p w14:paraId="6FD5DDB5">
      <w:pPr>
        <w:spacing w:line="360" w:lineRule="auto"/>
        <w:ind w:firstLine="560" w:firstLineChars="200"/>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（9）投标品牌多联机产品的压缩机应采用直流变频压缩机，具备智能除霜、防雷、防逆风等基础防护及优化功能，保障设备整体运行性能。</w:t>
      </w:r>
    </w:p>
    <w:p w14:paraId="7AD4FB76">
      <w:pPr>
        <w:spacing w:line="360" w:lineRule="auto"/>
        <w:ind w:firstLine="560" w:firstLineChars="200"/>
        <w:rPr>
          <w:rFonts w:hint="default"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（10）空调机组品牌（推荐品牌：海尔、美的、海信、格力、TCL等）</w:t>
      </w:r>
    </w:p>
    <w:p w14:paraId="332C382B">
      <w:pPr>
        <w:spacing w:line="36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三、</w:t>
      </w:r>
      <w:r>
        <w:rPr>
          <w:rFonts w:hint="eastAsia" w:ascii="宋体" w:hAnsi="宋体" w:eastAsia="宋体" w:cs="宋体"/>
          <w:b/>
          <w:sz w:val="28"/>
          <w:szCs w:val="28"/>
          <w:highlight w:val="none"/>
        </w:rPr>
        <w:t>商务要求：</w:t>
      </w:r>
    </w:p>
    <w:p w14:paraId="59E0D63D">
      <w:pPr>
        <w:spacing w:line="360" w:lineRule="auto"/>
        <w:ind w:firstLine="560" w:firstLineChars="200"/>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1）所投品牌多联机制造商应获得质量管理体系认证（ISO9001）、环境管理体系认证（ISO14001）、中国职业健康管理体系认证（ISO45001），获证单位与制造商一致，提供证书复印件和全国认证认可信息公共服务平台查询网页截图。</w:t>
      </w:r>
    </w:p>
    <w:p w14:paraId="3CEC5AEE">
      <w:pPr>
        <w:spacing w:line="360" w:lineRule="auto"/>
        <w:ind w:firstLine="560" w:firstLineChars="200"/>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（2）为保障售后服务质量，所投品牌制造商应具备完善的售后服务体系，提供有效的售后服务相关认证证书或证明材料。</w:t>
      </w:r>
    </w:p>
    <w:p w14:paraId="661F4594">
      <w:pPr>
        <w:spacing w:line="360" w:lineRule="auto"/>
        <w:ind w:firstLine="560" w:firstLineChars="200"/>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（3）为体现所投品牌制造商的技术研发及检测能力，投标品牌制造商应具备符合国家相关标准的多联机焓差实验室，提供实验室相关合格证明文件及备案材料。</w:t>
      </w:r>
    </w:p>
    <w:p w14:paraId="095C55D3">
      <w:pPr>
        <w:spacing w:line="360" w:lineRule="auto"/>
        <w:ind w:firstLine="562" w:firstLineChars="200"/>
        <w:rPr>
          <w:rFonts w:hint="eastAsia" w:ascii="Times New Roman" w:hAnsi="Times New Roman" w:eastAsia="方正小标宋_GBK" w:cs="Times New Roman"/>
          <w:highlight w:val="none"/>
          <w:lang w:eastAsia="zh-CN"/>
        </w:rPr>
      </w:pPr>
      <w:r>
        <w:rPr>
          <w:rFonts w:hint="eastAsia" w:ascii="宋体" w:hAnsi="宋体" w:eastAsia="宋体" w:cs="宋体"/>
          <w:b/>
          <w:sz w:val="28"/>
          <w:szCs w:val="28"/>
          <w:highlight w:val="none"/>
          <w:lang w:eastAsia="zh-CN"/>
        </w:rPr>
        <w:t>四、报价表：</w:t>
      </w:r>
    </w:p>
    <w:tbl>
      <w:tblPr>
        <w:tblStyle w:val="42"/>
        <w:tblW w:w="98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2"/>
        <w:gridCol w:w="2463"/>
        <w:gridCol w:w="2479"/>
        <w:gridCol w:w="642"/>
        <w:gridCol w:w="804"/>
        <w:gridCol w:w="744"/>
        <w:gridCol w:w="1267"/>
        <w:gridCol w:w="846"/>
      </w:tblGrid>
      <w:tr w14:paraId="1A709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0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F304">
            <w:pPr>
              <w:keepNext w:val="0"/>
              <w:keepLines w:val="0"/>
              <w:widowControl/>
              <w:suppressLineNumbers w:val="0"/>
              <w:jc w:val="left"/>
              <w:textAlignment w:val="center"/>
              <w:rPr>
                <w:rFonts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项目名称：空调工程</w:t>
            </w:r>
          </w:p>
        </w:tc>
        <w:tc>
          <w:tcPr>
            <w:tcW w:w="28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7BD9">
            <w:pPr>
              <w:keepNext w:val="0"/>
              <w:keepLines w:val="0"/>
              <w:widowControl/>
              <w:suppressLineNumbers w:val="0"/>
              <w:jc w:val="both"/>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计价单位:元（人民币）</w:t>
            </w:r>
          </w:p>
        </w:tc>
      </w:tr>
      <w:tr w14:paraId="358AA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CEF8">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A337">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1803">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品牌、规格及型号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3C8B">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单位</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B23C">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数量</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3095">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0A7A">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2AFF">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备   注</w:t>
            </w:r>
          </w:p>
        </w:tc>
      </w:tr>
      <w:tr w14:paraId="04680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77B6">
            <w:pPr>
              <w:keepNext w:val="0"/>
              <w:keepLines w:val="0"/>
              <w:widowControl/>
              <w:suppressLineNumbers w:val="0"/>
              <w:jc w:val="left"/>
              <w:textAlignment w:val="center"/>
              <w:rPr>
                <w:rFonts w:hint="default" w:ascii="方正楷体_GBK" w:hAnsi="方正楷体_GBK" w:eastAsia="方正楷体_GBK" w:cs="方正楷体_GBK"/>
                <w:b/>
                <w:bCs/>
                <w:i w:val="0"/>
                <w:iCs w:val="0"/>
                <w:color w:val="000000"/>
                <w:sz w:val="18"/>
                <w:szCs w:val="18"/>
                <w:u w:val="none"/>
              </w:rPr>
            </w:pPr>
            <w:r>
              <w:rPr>
                <w:rFonts w:hint="default" w:ascii="方正楷体_GBK" w:hAnsi="方正楷体_GBK" w:eastAsia="方正楷体_GBK" w:cs="方正楷体_GBK"/>
                <w:b/>
                <w:bCs/>
                <w:i w:val="0"/>
                <w:iCs w:val="0"/>
                <w:color w:val="000000"/>
                <w:kern w:val="0"/>
                <w:sz w:val="18"/>
                <w:szCs w:val="18"/>
                <w:u w:val="none"/>
                <w:lang w:val="en-US" w:eastAsia="zh-CN" w:bidi="ar"/>
              </w:rPr>
              <w:t>一、多联机系统</w:t>
            </w:r>
          </w:p>
        </w:tc>
      </w:tr>
      <w:tr w14:paraId="0C79B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BC7F">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（一）多联机空调设备部分</w:t>
            </w:r>
          </w:p>
        </w:tc>
      </w:tr>
      <w:tr w14:paraId="2A01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D364">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95B7">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变频多联机室外机</w:t>
            </w:r>
          </w:p>
        </w:tc>
        <w:tc>
          <w:tcPr>
            <w:tcW w:w="2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1F08D">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1、多联机室外机18P                 2、参数：制冷量：≥50.4KW， 制热量：≥56.5KW，制冷功率：≤12.9KW，制热功率：≤13.3KW，APF≥5.1，噪音≤61dB(A)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C005">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台</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25FA">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28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02CA">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623D">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7B18F">
            <w:pPr>
              <w:jc w:val="center"/>
              <w:rPr>
                <w:rFonts w:hint="default" w:ascii="方正楷体_GBK" w:hAnsi="方正楷体_GBK" w:eastAsia="方正楷体_GBK" w:cs="方正楷体_GBK"/>
                <w:i w:val="0"/>
                <w:iCs w:val="0"/>
                <w:color w:val="000000"/>
                <w:sz w:val="18"/>
                <w:szCs w:val="18"/>
                <w:u w:val="none"/>
              </w:rPr>
            </w:pPr>
          </w:p>
        </w:tc>
      </w:tr>
      <w:tr w14:paraId="7A97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4665">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B085">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多联机室内机</w:t>
            </w:r>
          </w:p>
        </w:tc>
        <w:tc>
          <w:tcPr>
            <w:tcW w:w="2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9432B">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1、多联机室内机                    2、参数：制冷量：≥10.0KW， 制热量：≥11.2KW，额定输入功率：≤0.178KW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430E">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台</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F02A">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EB5D">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1448">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8836E">
            <w:pPr>
              <w:jc w:val="center"/>
              <w:rPr>
                <w:rFonts w:hint="default" w:ascii="方正楷体_GBK" w:hAnsi="方正楷体_GBK" w:eastAsia="方正楷体_GBK" w:cs="方正楷体_GBK"/>
                <w:i w:val="0"/>
                <w:iCs w:val="0"/>
                <w:color w:val="000000"/>
                <w:sz w:val="18"/>
                <w:szCs w:val="18"/>
                <w:u w:val="none"/>
              </w:rPr>
            </w:pPr>
          </w:p>
        </w:tc>
      </w:tr>
      <w:tr w14:paraId="07EE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CA1D">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873D">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线控器</w:t>
            </w:r>
          </w:p>
        </w:tc>
        <w:tc>
          <w:tcPr>
            <w:tcW w:w="2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7CEB8">
            <w:pPr>
              <w:jc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5A17">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CCCD">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C7B4">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5937">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2A97C">
            <w:pPr>
              <w:jc w:val="center"/>
              <w:rPr>
                <w:rFonts w:hint="default" w:ascii="方正楷体_GBK" w:hAnsi="方正楷体_GBK" w:eastAsia="方正楷体_GBK" w:cs="方正楷体_GBK"/>
                <w:i w:val="0"/>
                <w:iCs w:val="0"/>
                <w:color w:val="000000"/>
                <w:sz w:val="18"/>
                <w:szCs w:val="18"/>
                <w:u w:val="none"/>
              </w:rPr>
            </w:pPr>
          </w:p>
        </w:tc>
      </w:tr>
      <w:tr w14:paraId="68863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0D3B">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2708">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设备小计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C566F">
            <w:pPr>
              <w:jc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4BCE45">
            <w:pPr>
              <w:jc w:val="center"/>
              <w:rPr>
                <w:rFonts w:hint="default" w:ascii="方正楷体_GBK" w:hAnsi="方正楷体_GBK" w:eastAsia="方正楷体_GBK" w:cs="方正楷体_GBK"/>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D995A6">
            <w:pPr>
              <w:jc w:val="center"/>
              <w:rPr>
                <w:rFonts w:hint="default" w:ascii="方正楷体_GBK" w:hAnsi="方正楷体_GBK" w:eastAsia="方正楷体_GBK" w:cs="方正楷体_GBK"/>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A067">
            <w:pPr>
              <w:jc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52C6">
            <w:pPr>
              <w:keepNext w:val="0"/>
              <w:keepLines w:val="0"/>
              <w:widowControl/>
              <w:suppressLineNumbers w:val="0"/>
              <w:jc w:val="center"/>
              <w:textAlignment w:val="center"/>
              <w:rPr>
                <w:rFonts w:hint="default" w:ascii="方正楷体_GBK" w:hAnsi="方正楷体_GBK" w:eastAsia="方正楷体_GBK" w:cs="方正楷体_GBK"/>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11D13">
            <w:pPr>
              <w:jc w:val="center"/>
              <w:rPr>
                <w:rFonts w:hint="default" w:ascii="方正楷体_GBK" w:hAnsi="方正楷体_GBK" w:eastAsia="方正楷体_GBK" w:cs="方正楷体_GBK"/>
                <w:i w:val="0"/>
                <w:iCs w:val="0"/>
                <w:color w:val="000000"/>
                <w:sz w:val="18"/>
                <w:szCs w:val="18"/>
                <w:u w:val="none"/>
              </w:rPr>
            </w:pPr>
          </w:p>
        </w:tc>
      </w:tr>
      <w:tr w14:paraId="38D74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23A6">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（二）多联机空调安装主材部分</w:t>
            </w:r>
          </w:p>
        </w:tc>
      </w:tr>
      <w:tr w14:paraId="3CE6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F4A2">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184B">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塑钢送风口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4114">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双层百叶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2B54">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054A">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280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B35D">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93AD">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5C14">
            <w:pPr>
              <w:jc w:val="center"/>
              <w:rPr>
                <w:rFonts w:hint="default" w:ascii="方正楷体_GBK" w:hAnsi="方正楷体_GBK" w:eastAsia="方正楷体_GBK" w:cs="方正楷体_GBK"/>
                <w:i w:val="0"/>
                <w:iCs w:val="0"/>
                <w:color w:val="000000"/>
                <w:sz w:val="18"/>
                <w:szCs w:val="18"/>
                <w:u w:val="none"/>
              </w:rPr>
            </w:pPr>
          </w:p>
        </w:tc>
      </w:tr>
      <w:tr w14:paraId="78C0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0E8A">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5572">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塑钢回风口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10DE">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单层百叶风口带滤网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7009">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A1E4">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6724">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F00A">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91A2">
            <w:pPr>
              <w:jc w:val="center"/>
              <w:rPr>
                <w:rFonts w:hint="default" w:ascii="方正楷体_GBK" w:hAnsi="方正楷体_GBK" w:eastAsia="方正楷体_GBK" w:cs="方正楷体_GBK"/>
                <w:i w:val="0"/>
                <w:iCs w:val="0"/>
                <w:color w:val="000000"/>
                <w:sz w:val="18"/>
                <w:szCs w:val="18"/>
                <w:u w:val="none"/>
              </w:rPr>
            </w:pPr>
          </w:p>
        </w:tc>
      </w:tr>
      <w:tr w14:paraId="0739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B2EA">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BDDA">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冷媒管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9644">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φ9.5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F2FC">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米</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CCAE">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816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714E">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478E">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2D67">
            <w:pPr>
              <w:jc w:val="center"/>
              <w:rPr>
                <w:rFonts w:hint="default" w:ascii="方正楷体_GBK" w:hAnsi="方正楷体_GBK" w:eastAsia="方正楷体_GBK" w:cs="方正楷体_GBK"/>
                <w:i w:val="0"/>
                <w:iCs w:val="0"/>
                <w:color w:val="000000"/>
                <w:sz w:val="18"/>
                <w:szCs w:val="18"/>
                <w:u w:val="none"/>
              </w:rPr>
            </w:pPr>
          </w:p>
        </w:tc>
      </w:tr>
      <w:tr w14:paraId="199AB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4DB7">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65EF">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冷媒管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C91B">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φ12.7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BD87">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米</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F842">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77</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4FB4">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A650">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0CF3">
            <w:pPr>
              <w:jc w:val="center"/>
              <w:rPr>
                <w:rFonts w:hint="default" w:ascii="方正楷体_GBK" w:hAnsi="方正楷体_GBK" w:eastAsia="方正楷体_GBK" w:cs="方正楷体_GBK"/>
                <w:i w:val="0"/>
                <w:iCs w:val="0"/>
                <w:color w:val="000000"/>
                <w:sz w:val="18"/>
                <w:szCs w:val="18"/>
                <w:u w:val="none"/>
              </w:rPr>
            </w:pPr>
          </w:p>
        </w:tc>
      </w:tr>
      <w:tr w14:paraId="37A8A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CD22">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C341">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冷媒管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3988">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φ15.9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7ED7">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米</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AC8F">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1032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8A1B">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D333">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5E37">
            <w:pPr>
              <w:jc w:val="center"/>
              <w:rPr>
                <w:rFonts w:hint="default" w:ascii="方正楷体_GBK" w:hAnsi="方正楷体_GBK" w:eastAsia="方正楷体_GBK" w:cs="方正楷体_GBK"/>
                <w:i w:val="0"/>
                <w:iCs w:val="0"/>
                <w:color w:val="000000"/>
                <w:sz w:val="18"/>
                <w:szCs w:val="18"/>
                <w:u w:val="none"/>
              </w:rPr>
            </w:pPr>
          </w:p>
        </w:tc>
      </w:tr>
      <w:tr w14:paraId="63F4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3144">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04CA">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冷媒管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067C">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φ19.1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C919">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米</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96AF">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154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FBFB">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3C25">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3B38">
            <w:pPr>
              <w:jc w:val="center"/>
              <w:rPr>
                <w:rFonts w:hint="default" w:ascii="方正楷体_GBK" w:hAnsi="方正楷体_GBK" w:eastAsia="方正楷体_GBK" w:cs="方正楷体_GBK"/>
                <w:i w:val="0"/>
                <w:iCs w:val="0"/>
                <w:color w:val="000000"/>
                <w:sz w:val="18"/>
                <w:szCs w:val="18"/>
                <w:u w:val="none"/>
              </w:rPr>
            </w:pPr>
          </w:p>
        </w:tc>
      </w:tr>
      <w:tr w14:paraId="3D13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C5E3">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803F">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冷媒管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1140">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φ22.2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60CD">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米</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808A">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125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1FCB">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790F">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A491">
            <w:pPr>
              <w:jc w:val="center"/>
              <w:rPr>
                <w:rFonts w:hint="default" w:ascii="方正楷体_GBK" w:hAnsi="方正楷体_GBK" w:eastAsia="方正楷体_GBK" w:cs="方正楷体_GBK"/>
                <w:i w:val="0"/>
                <w:iCs w:val="0"/>
                <w:color w:val="000000"/>
                <w:sz w:val="18"/>
                <w:szCs w:val="18"/>
                <w:u w:val="none"/>
              </w:rPr>
            </w:pPr>
          </w:p>
        </w:tc>
      </w:tr>
      <w:tr w14:paraId="361D7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E3B5">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4554">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冷媒管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3CF8">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φ28.6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E0D4">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米</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6068">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570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FBBC">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8626">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97FF">
            <w:pPr>
              <w:jc w:val="center"/>
              <w:rPr>
                <w:rFonts w:hint="default" w:ascii="方正楷体_GBK" w:hAnsi="方正楷体_GBK" w:eastAsia="方正楷体_GBK" w:cs="方正楷体_GBK"/>
                <w:i w:val="0"/>
                <w:iCs w:val="0"/>
                <w:color w:val="000000"/>
                <w:sz w:val="18"/>
                <w:szCs w:val="18"/>
                <w:u w:val="none"/>
              </w:rPr>
            </w:pPr>
          </w:p>
        </w:tc>
      </w:tr>
      <w:tr w14:paraId="6A8AC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87CE">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8916">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冷媒管橡塑保温</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F8FC">
            <w:pPr>
              <w:jc w:val="center"/>
              <w:rPr>
                <w:rFonts w:hint="default" w:ascii="方正楷体_GBK" w:hAnsi="方正楷体_GBK" w:eastAsia="方正楷体_GBK" w:cs="方正楷体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2885">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m3</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5C66">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23</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6853">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7FE0">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AF4A">
            <w:pPr>
              <w:jc w:val="center"/>
              <w:rPr>
                <w:rFonts w:hint="default" w:ascii="方正楷体_GBK" w:hAnsi="方正楷体_GBK" w:eastAsia="方正楷体_GBK" w:cs="方正楷体_GBK"/>
                <w:i w:val="0"/>
                <w:iCs w:val="0"/>
                <w:color w:val="000000"/>
                <w:sz w:val="18"/>
                <w:szCs w:val="18"/>
                <w:u w:val="none"/>
              </w:rPr>
            </w:pPr>
          </w:p>
        </w:tc>
      </w:tr>
      <w:tr w14:paraId="0856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249B">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85AD">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分歧管</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586E">
            <w:pPr>
              <w:jc w:val="center"/>
              <w:rPr>
                <w:rFonts w:hint="default" w:ascii="方正楷体_GBK" w:hAnsi="方正楷体_GBK" w:eastAsia="方正楷体_GBK" w:cs="方正楷体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EDA2">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1E4F">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112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E194">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701D">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1CAD">
            <w:pPr>
              <w:jc w:val="center"/>
              <w:rPr>
                <w:rFonts w:hint="default" w:ascii="方正楷体_GBK" w:hAnsi="方正楷体_GBK" w:eastAsia="方正楷体_GBK" w:cs="方正楷体_GBK"/>
                <w:i w:val="0"/>
                <w:iCs w:val="0"/>
                <w:color w:val="000000"/>
                <w:sz w:val="18"/>
                <w:szCs w:val="18"/>
                <w:u w:val="none"/>
              </w:rPr>
            </w:pPr>
          </w:p>
        </w:tc>
      </w:tr>
      <w:tr w14:paraId="735C0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745D">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597B">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U-PVC冷凝水管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A4E8">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De25/De40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4338">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3AF2">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78EF">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B51A">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5BEA">
            <w:pPr>
              <w:jc w:val="center"/>
              <w:rPr>
                <w:rFonts w:hint="default" w:ascii="方正楷体_GBK" w:hAnsi="方正楷体_GBK" w:eastAsia="方正楷体_GBK" w:cs="方正楷体_GBK"/>
                <w:i w:val="0"/>
                <w:iCs w:val="0"/>
                <w:color w:val="000000"/>
                <w:sz w:val="18"/>
                <w:szCs w:val="18"/>
                <w:u w:val="none"/>
              </w:rPr>
            </w:pPr>
          </w:p>
        </w:tc>
      </w:tr>
      <w:tr w14:paraId="3E24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BCB2">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462D">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制冷剂</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E339">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6"/>
                <w:szCs w:val="16"/>
                <w:u w:val="none"/>
              </w:rPr>
            </w:pPr>
            <w:r>
              <w:rPr>
                <w:rFonts w:hint="default" w:ascii="方正楷体_GBK" w:hAnsi="方正楷体_GBK" w:eastAsia="方正楷体_GBK" w:cs="方正楷体_GBK"/>
                <w:i w:val="0"/>
                <w:iCs w:val="0"/>
                <w:color w:val="000000"/>
                <w:kern w:val="0"/>
                <w:sz w:val="16"/>
                <w:szCs w:val="16"/>
                <w:u w:val="none"/>
                <w:lang w:val="en-US" w:eastAsia="zh-CN" w:bidi="ar"/>
              </w:rPr>
              <w:t>R410a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2A3E">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KG</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3835">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385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2597">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3E67">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EE74">
            <w:pPr>
              <w:jc w:val="center"/>
              <w:rPr>
                <w:rFonts w:hint="default" w:ascii="方正楷体_GBK" w:hAnsi="方正楷体_GBK" w:eastAsia="方正楷体_GBK" w:cs="方正楷体_GBK"/>
                <w:i w:val="0"/>
                <w:iCs w:val="0"/>
                <w:color w:val="000000"/>
                <w:sz w:val="18"/>
                <w:szCs w:val="18"/>
                <w:u w:val="none"/>
              </w:rPr>
            </w:pPr>
          </w:p>
        </w:tc>
      </w:tr>
      <w:tr w14:paraId="1B07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73F2">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0D52">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室外机支架/基础</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B339">
            <w:pPr>
              <w:jc w:val="center"/>
              <w:rPr>
                <w:rFonts w:hint="default" w:ascii="方正楷体_GBK" w:hAnsi="方正楷体_GBK" w:eastAsia="方正楷体_GBK" w:cs="方正楷体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89B6">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440E">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28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E770">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BB39">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69CC">
            <w:pPr>
              <w:jc w:val="center"/>
              <w:rPr>
                <w:rFonts w:hint="default" w:ascii="方正楷体_GBK" w:hAnsi="方正楷体_GBK" w:eastAsia="方正楷体_GBK" w:cs="方正楷体_GBK"/>
                <w:i w:val="0"/>
                <w:iCs w:val="0"/>
                <w:color w:val="000000"/>
                <w:sz w:val="18"/>
                <w:szCs w:val="18"/>
                <w:u w:val="none"/>
              </w:rPr>
            </w:pPr>
          </w:p>
        </w:tc>
      </w:tr>
      <w:tr w14:paraId="61DA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285B">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FAE8">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导风筒</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73C8">
            <w:pPr>
              <w:jc w:val="center"/>
              <w:rPr>
                <w:rFonts w:hint="default" w:ascii="方正楷体_GBK" w:hAnsi="方正楷体_GBK" w:eastAsia="方正楷体_GBK" w:cs="方正楷体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8633">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8A65">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28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B169">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0818">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5BFD">
            <w:pPr>
              <w:jc w:val="center"/>
              <w:rPr>
                <w:rFonts w:hint="default" w:ascii="方正楷体_GBK" w:hAnsi="方正楷体_GBK" w:eastAsia="方正楷体_GBK" w:cs="方正楷体_GBK"/>
                <w:i w:val="0"/>
                <w:iCs w:val="0"/>
                <w:color w:val="000000"/>
                <w:sz w:val="18"/>
                <w:szCs w:val="18"/>
                <w:u w:val="none"/>
              </w:rPr>
            </w:pPr>
          </w:p>
        </w:tc>
      </w:tr>
      <w:tr w14:paraId="4C421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BF6C">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ADBD">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单面彩钢酚醛复合风管</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DFF1">
            <w:pPr>
              <w:jc w:val="center"/>
              <w:rPr>
                <w:rFonts w:hint="default" w:ascii="方正楷体_GBK" w:hAnsi="方正楷体_GBK" w:eastAsia="方正楷体_GBK" w:cs="方正楷体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8755">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m2</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34C5">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1600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D138">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E45A">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3804">
            <w:pPr>
              <w:jc w:val="center"/>
              <w:rPr>
                <w:rFonts w:hint="default" w:ascii="方正楷体_GBK" w:hAnsi="方正楷体_GBK" w:eastAsia="方正楷体_GBK" w:cs="方正楷体_GBK"/>
                <w:i w:val="0"/>
                <w:iCs w:val="0"/>
                <w:color w:val="000000"/>
                <w:sz w:val="18"/>
                <w:szCs w:val="18"/>
                <w:u w:val="none"/>
              </w:rPr>
            </w:pPr>
          </w:p>
        </w:tc>
      </w:tr>
      <w:tr w14:paraId="33353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3D08">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96A7">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电源线</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138C">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6"/>
                <w:szCs w:val="16"/>
                <w:u w:val="none"/>
              </w:rPr>
            </w:pPr>
            <w:r>
              <w:rPr>
                <w:rFonts w:hint="default" w:ascii="方正楷体_GBK" w:hAnsi="方正楷体_GBK" w:eastAsia="方正楷体_GBK" w:cs="方正楷体_GBK"/>
                <w:i w:val="0"/>
                <w:iCs w:val="0"/>
                <w:color w:val="000000"/>
                <w:kern w:val="0"/>
                <w:sz w:val="16"/>
                <w:szCs w:val="16"/>
                <w:u w:val="none"/>
                <w:lang w:val="en-US" w:eastAsia="zh-CN" w:bidi="ar"/>
              </w:rPr>
              <w:t>BYJ-2.5mm2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5269">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米</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A80A">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9240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F49B">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7130">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1073">
            <w:pPr>
              <w:jc w:val="center"/>
              <w:rPr>
                <w:rFonts w:hint="default" w:ascii="方正楷体_GBK" w:hAnsi="方正楷体_GBK" w:eastAsia="方正楷体_GBK" w:cs="方正楷体_GBK"/>
                <w:i w:val="0"/>
                <w:iCs w:val="0"/>
                <w:color w:val="000000"/>
                <w:sz w:val="18"/>
                <w:szCs w:val="18"/>
                <w:u w:val="none"/>
              </w:rPr>
            </w:pPr>
          </w:p>
        </w:tc>
      </w:tr>
      <w:tr w14:paraId="4F6C3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7621">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6118">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电缆</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1C82">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6"/>
                <w:szCs w:val="16"/>
                <w:u w:val="none"/>
              </w:rPr>
            </w:pPr>
            <w:r>
              <w:rPr>
                <w:rFonts w:hint="default" w:ascii="方正楷体_GBK" w:hAnsi="方正楷体_GBK" w:eastAsia="方正楷体_GBK" w:cs="方正楷体_GBK"/>
                <w:i w:val="0"/>
                <w:iCs w:val="0"/>
                <w:color w:val="000000"/>
                <w:kern w:val="0"/>
                <w:sz w:val="16"/>
                <w:szCs w:val="16"/>
                <w:u w:val="none"/>
                <w:lang w:val="en-US" w:eastAsia="zh-CN" w:bidi="ar"/>
              </w:rPr>
              <w:t>YJY5*16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1276">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米</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A3A4">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924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284F">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9B2F">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4F27">
            <w:pPr>
              <w:jc w:val="center"/>
              <w:rPr>
                <w:rFonts w:hint="default" w:ascii="方正楷体_GBK" w:hAnsi="方正楷体_GBK" w:eastAsia="方正楷体_GBK" w:cs="方正楷体_GBK"/>
                <w:i w:val="0"/>
                <w:iCs w:val="0"/>
                <w:color w:val="000000"/>
                <w:sz w:val="18"/>
                <w:szCs w:val="18"/>
                <w:u w:val="none"/>
              </w:rPr>
            </w:pPr>
          </w:p>
        </w:tc>
      </w:tr>
      <w:tr w14:paraId="3792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7795">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3088">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电力电缆头</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4A4A">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6"/>
                <w:szCs w:val="16"/>
                <w:u w:val="none"/>
              </w:rPr>
            </w:pPr>
            <w:r>
              <w:rPr>
                <w:rFonts w:hint="default" w:ascii="方正楷体_GBK" w:hAnsi="方正楷体_GBK" w:eastAsia="方正楷体_GBK" w:cs="方正楷体_GBK"/>
                <w:i w:val="0"/>
                <w:iCs w:val="0"/>
                <w:color w:val="000000"/>
                <w:kern w:val="0"/>
                <w:sz w:val="16"/>
                <w:szCs w:val="16"/>
                <w:u w:val="none"/>
                <w:lang w:val="en-US" w:eastAsia="zh-CN" w:bidi="ar"/>
              </w:rPr>
              <w:t>YJY5*16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A41C">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3028">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56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F5D6">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EBCC">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9C7D">
            <w:pPr>
              <w:jc w:val="center"/>
              <w:rPr>
                <w:rFonts w:hint="default" w:ascii="方正楷体_GBK" w:hAnsi="方正楷体_GBK" w:eastAsia="方正楷体_GBK" w:cs="方正楷体_GBK"/>
                <w:i w:val="0"/>
                <w:iCs w:val="0"/>
                <w:color w:val="000000"/>
                <w:sz w:val="18"/>
                <w:szCs w:val="18"/>
                <w:u w:val="none"/>
              </w:rPr>
            </w:pPr>
          </w:p>
        </w:tc>
      </w:tr>
      <w:tr w14:paraId="21308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5C13">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5466">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信号线</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FB99">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6"/>
                <w:szCs w:val="16"/>
                <w:u w:val="none"/>
              </w:rPr>
            </w:pPr>
            <w:r>
              <w:rPr>
                <w:rFonts w:hint="default" w:ascii="方正楷体_GBK" w:hAnsi="方正楷体_GBK" w:eastAsia="方正楷体_GBK" w:cs="方正楷体_GBK"/>
                <w:i w:val="0"/>
                <w:iCs w:val="0"/>
                <w:color w:val="000000"/>
                <w:kern w:val="0"/>
                <w:sz w:val="16"/>
                <w:szCs w:val="16"/>
                <w:u w:val="none"/>
                <w:lang w:val="en-US" w:eastAsia="zh-CN" w:bidi="ar"/>
              </w:rPr>
              <w:t>RVVP3*0.75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47B8">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米</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2551">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3080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C7B9">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2788">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F712">
            <w:pPr>
              <w:jc w:val="center"/>
              <w:rPr>
                <w:rFonts w:hint="default" w:ascii="方正楷体_GBK" w:hAnsi="方正楷体_GBK" w:eastAsia="方正楷体_GBK" w:cs="方正楷体_GBK"/>
                <w:i w:val="0"/>
                <w:iCs w:val="0"/>
                <w:color w:val="000000"/>
                <w:sz w:val="18"/>
                <w:szCs w:val="18"/>
                <w:u w:val="none"/>
              </w:rPr>
            </w:pPr>
          </w:p>
        </w:tc>
      </w:tr>
      <w:tr w14:paraId="4E06A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7919">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508C">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线管</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F6F9">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6"/>
                <w:szCs w:val="16"/>
                <w:u w:val="none"/>
              </w:rPr>
            </w:pPr>
            <w:r>
              <w:rPr>
                <w:rFonts w:hint="default" w:ascii="方正楷体_GBK" w:hAnsi="方正楷体_GBK" w:eastAsia="方正楷体_GBK" w:cs="方正楷体_GBK"/>
                <w:i w:val="0"/>
                <w:iCs w:val="0"/>
                <w:color w:val="000000"/>
                <w:kern w:val="0"/>
                <w:sz w:val="16"/>
                <w:szCs w:val="16"/>
                <w:u w:val="none"/>
                <w:lang w:val="en-US" w:eastAsia="zh-CN" w:bidi="ar"/>
              </w:rPr>
              <w:t>PVC20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BF1A">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米</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91A3">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7700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4E4C">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3865">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EC8A">
            <w:pPr>
              <w:jc w:val="center"/>
              <w:rPr>
                <w:rFonts w:hint="default" w:ascii="方正楷体_GBK" w:hAnsi="方正楷体_GBK" w:eastAsia="方正楷体_GBK" w:cs="方正楷体_GBK"/>
                <w:i w:val="0"/>
                <w:iCs w:val="0"/>
                <w:color w:val="000000"/>
                <w:sz w:val="18"/>
                <w:szCs w:val="18"/>
                <w:u w:val="none"/>
              </w:rPr>
            </w:pPr>
          </w:p>
        </w:tc>
      </w:tr>
      <w:tr w14:paraId="1167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B004">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DC58">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线管</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E826">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6"/>
                <w:szCs w:val="16"/>
                <w:u w:val="none"/>
              </w:rPr>
            </w:pPr>
            <w:r>
              <w:rPr>
                <w:rFonts w:hint="default" w:ascii="方正楷体_GBK" w:hAnsi="方正楷体_GBK" w:eastAsia="方正楷体_GBK" w:cs="方正楷体_GBK"/>
                <w:i w:val="0"/>
                <w:iCs w:val="0"/>
                <w:color w:val="000000"/>
                <w:kern w:val="0"/>
                <w:sz w:val="16"/>
                <w:szCs w:val="16"/>
                <w:u w:val="none"/>
                <w:lang w:val="en-US" w:eastAsia="zh-CN" w:bidi="ar"/>
              </w:rPr>
              <w:t>JDG50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3C78">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米</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F0A2">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924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B9CC">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0D46">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4D6F">
            <w:pPr>
              <w:jc w:val="center"/>
              <w:rPr>
                <w:rFonts w:hint="default" w:ascii="方正楷体_GBK" w:hAnsi="方正楷体_GBK" w:eastAsia="方正楷体_GBK" w:cs="方正楷体_GBK"/>
                <w:i w:val="0"/>
                <w:iCs w:val="0"/>
                <w:color w:val="000000"/>
                <w:sz w:val="18"/>
                <w:szCs w:val="18"/>
                <w:u w:val="none"/>
              </w:rPr>
            </w:pPr>
          </w:p>
        </w:tc>
      </w:tr>
      <w:tr w14:paraId="5B52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411C">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DCEB">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其它辅材</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8567">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6"/>
                <w:szCs w:val="16"/>
                <w:u w:val="none"/>
              </w:rPr>
            </w:pPr>
            <w:r>
              <w:rPr>
                <w:rFonts w:hint="default" w:ascii="方正楷体_GBK" w:hAnsi="方正楷体_GBK" w:eastAsia="方正楷体_GBK" w:cs="方正楷体_GBK"/>
                <w:i w:val="0"/>
                <w:iCs w:val="0"/>
                <w:color w:val="000000"/>
                <w:kern w:val="0"/>
                <w:sz w:val="16"/>
                <w:szCs w:val="16"/>
                <w:u w:val="none"/>
                <w:lang w:val="en-US" w:eastAsia="zh-CN" w:bidi="ar"/>
              </w:rPr>
              <w:t>打孔、氧气、乙炔、氮气、丝杆、胶水、膨胀螺丝等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3F82">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CF14">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24DA">
            <w:pPr>
              <w:keepNext w:val="0"/>
              <w:keepLines w:val="0"/>
              <w:widowControl/>
              <w:suppressLineNumbers w:val="0"/>
              <w:jc w:val="both"/>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109C">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D1AB">
            <w:pPr>
              <w:jc w:val="center"/>
              <w:rPr>
                <w:rFonts w:hint="default" w:ascii="方正楷体_GBK" w:hAnsi="方正楷体_GBK" w:eastAsia="方正楷体_GBK" w:cs="方正楷体_GBK"/>
                <w:i w:val="0"/>
                <w:iCs w:val="0"/>
                <w:color w:val="000000"/>
                <w:sz w:val="18"/>
                <w:szCs w:val="18"/>
                <w:u w:val="none"/>
              </w:rPr>
            </w:pPr>
          </w:p>
        </w:tc>
      </w:tr>
      <w:tr w14:paraId="2C01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92D0">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F9E0">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空调配电箱</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E320">
            <w:pPr>
              <w:jc w:val="center"/>
              <w:rPr>
                <w:rFonts w:hint="default" w:ascii="方正楷体_GBK" w:hAnsi="方正楷体_GBK" w:eastAsia="方正楷体_GBK" w:cs="方正楷体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7933">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156D">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7743">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1395">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B237">
            <w:pPr>
              <w:jc w:val="center"/>
              <w:rPr>
                <w:rFonts w:hint="default" w:ascii="方正楷体_GBK" w:hAnsi="方正楷体_GBK" w:eastAsia="方正楷体_GBK" w:cs="方正楷体_GBK"/>
                <w:i w:val="0"/>
                <w:iCs w:val="0"/>
                <w:color w:val="000000"/>
                <w:sz w:val="18"/>
                <w:szCs w:val="18"/>
                <w:u w:val="none"/>
              </w:rPr>
            </w:pPr>
          </w:p>
        </w:tc>
      </w:tr>
      <w:tr w14:paraId="2B42D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DE2C">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1E08">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安装工时费</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BEE6">
            <w:pPr>
              <w:jc w:val="center"/>
              <w:rPr>
                <w:rFonts w:hint="default" w:ascii="方正楷体_GBK" w:hAnsi="方正楷体_GBK" w:eastAsia="方正楷体_GBK" w:cs="方正楷体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95D6">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台</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143F">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168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1AA3">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61D8">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C482">
            <w:pPr>
              <w:jc w:val="center"/>
              <w:rPr>
                <w:rFonts w:hint="default" w:ascii="方正楷体_GBK" w:hAnsi="方正楷体_GBK" w:eastAsia="方正楷体_GBK" w:cs="方正楷体_GBK"/>
                <w:i w:val="0"/>
                <w:iCs w:val="0"/>
                <w:color w:val="000000"/>
                <w:sz w:val="18"/>
                <w:szCs w:val="18"/>
                <w:u w:val="none"/>
              </w:rPr>
            </w:pPr>
          </w:p>
        </w:tc>
      </w:tr>
      <w:tr w14:paraId="66E0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0FFF">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05BC">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搬、运费、吊车</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C33B">
            <w:pPr>
              <w:jc w:val="center"/>
              <w:rPr>
                <w:rFonts w:hint="default" w:ascii="方正楷体_GBK" w:hAnsi="方正楷体_GBK" w:eastAsia="方正楷体_GBK" w:cs="方正楷体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78B2">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1F06">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444F">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092B">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73CE">
            <w:pPr>
              <w:jc w:val="center"/>
              <w:rPr>
                <w:rFonts w:hint="default" w:ascii="方正楷体_GBK" w:hAnsi="方正楷体_GBK" w:eastAsia="方正楷体_GBK" w:cs="方正楷体_GBK"/>
                <w:i w:val="0"/>
                <w:iCs w:val="0"/>
                <w:color w:val="000000"/>
                <w:sz w:val="18"/>
                <w:szCs w:val="18"/>
                <w:u w:val="none"/>
              </w:rPr>
            </w:pPr>
          </w:p>
        </w:tc>
      </w:tr>
      <w:tr w14:paraId="5757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86A8">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2A20">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检修门洞口开孔</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9A78">
            <w:pPr>
              <w:jc w:val="center"/>
              <w:rPr>
                <w:rFonts w:hint="default" w:ascii="方正楷体_GBK" w:hAnsi="方正楷体_GBK" w:eastAsia="方正楷体_GBK" w:cs="方正楷体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8F42">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BB3B">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F240">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2495">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E396">
            <w:pPr>
              <w:jc w:val="center"/>
              <w:rPr>
                <w:rFonts w:hint="default" w:ascii="方正楷体_GBK" w:hAnsi="方正楷体_GBK" w:eastAsia="方正楷体_GBK" w:cs="方正楷体_GBK"/>
                <w:i w:val="0"/>
                <w:iCs w:val="0"/>
                <w:color w:val="000000"/>
                <w:sz w:val="18"/>
                <w:szCs w:val="18"/>
                <w:u w:val="none"/>
              </w:rPr>
            </w:pPr>
          </w:p>
        </w:tc>
      </w:tr>
      <w:tr w14:paraId="09F3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E43A">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1A2C">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检修百叶门及安装</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3802">
            <w:pPr>
              <w:jc w:val="center"/>
              <w:rPr>
                <w:rFonts w:hint="default" w:ascii="方正楷体_GBK" w:hAnsi="方正楷体_GBK" w:eastAsia="方正楷体_GBK" w:cs="方正楷体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D9ED">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7538">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D8A3">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A202">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6824">
            <w:pPr>
              <w:jc w:val="center"/>
              <w:rPr>
                <w:rFonts w:hint="default" w:ascii="方正楷体_GBK" w:hAnsi="方正楷体_GBK" w:eastAsia="方正楷体_GBK" w:cs="方正楷体_GBK"/>
                <w:i w:val="0"/>
                <w:iCs w:val="0"/>
                <w:color w:val="000000"/>
                <w:sz w:val="18"/>
                <w:szCs w:val="18"/>
                <w:u w:val="none"/>
              </w:rPr>
            </w:pPr>
          </w:p>
        </w:tc>
      </w:tr>
      <w:tr w14:paraId="1B371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A5F0">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3DF4">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外机位百叶拆除及安装</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7AB7">
            <w:pPr>
              <w:jc w:val="center"/>
              <w:rPr>
                <w:rFonts w:hint="default" w:ascii="方正楷体_GBK" w:hAnsi="方正楷体_GBK" w:eastAsia="方正楷体_GBK" w:cs="方正楷体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E0B1">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D0EB">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14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C1AA">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0D78">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30CC">
            <w:pPr>
              <w:jc w:val="center"/>
              <w:rPr>
                <w:rFonts w:hint="default" w:ascii="方正楷体_GBK" w:hAnsi="方正楷体_GBK" w:eastAsia="方正楷体_GBK" w:cs="方正楷体_GBK"/>
                <w:i w:val="0"/>
                <w:iCs w:val="0"/>
                <w:color w:val="000000"/>
                <w:sz w:val="18"/>
                <w:szCs w:val="18"/>
                <w:u w:val="none"/>
              </w:rPr>
            </w:pPr>
          </w:p>
        </w:tc>
      </w:tr>
      <w:tr w14:paraId="6FCF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83AE">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7217">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安装合计</w:t>
            </w:r>
          </w:p>
        </w:tc>
        <w:tc>
          <w:tcPr>
            <w:tcW w:w="2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43F5">
            <w:pPr>
              <w:jc w:val="center"/>
              <w:rPr>
                <w:rFonts w:hint="default" w:ascii="方正楷体_GBK" w:hAnsi="方正楷体_GBK" w:eastAsia="方正楷体_GBK" w:cs="方正楷体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7CE8">
            <w:pPr>
              <w:jc w:val="center"/>
              <w:rPr>
                <w:rFonts w:hint="default" w:ascii="方正楷体_GBK" w:hAnsi="方正楷体_GBK" w:eastAsia="方正楷体_GBK" w:cs="方正楷体_GBK"/>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FA56">
            <w:pPr>
              <w:jc w:val="center"/>
              <w:rPr>
                <w:rFonts w:hint="default" w:ascii="方正楷体_GBK" w:hAnsi="方正楷体_GBK" w:eastAsia="方正楷体_GBK" w:cs="方正楷体_GBK"/>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27DA">
            <w:pPr>
              <w:jc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70F4">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DE3B">
            <w:pPr>
              <w:jc w:val="center"/>
              <w:rPr>
                <w:rFonts w:hint="default" w:ascii="方正楷体_GBK" w:hAnsi="方正楷体_GBK" w:eastAsia="方正楷体_GBK" w:cs="方正楷体_GBK"/>
                <w:i w:val="0"/>
                <w:iCs w:val="0"/>
                <w:color w:val="000000"/>
                <w:sz w:val="18"/>
                <w:szCs w:val="18"/>
                <w:u w:val="none"/>
              </w:rPr>
            </w:pPr>
          </w:p>
        </w:tc>
      </w:tr>
      <w:tr w14:paraId="3C9EE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B930">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A1CE">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合计</w:t>
            </w:r>
          </w:p>
        </w:tc>
        <w:tc>
          <w:tcPr>
            <w:tcW w:w="47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ACEC17">
            <w:pPr>
              <w:jc w:val="center"/>
              <w:rPr>
                <w:rFonts w:hint="default" w:ascii="方正楷体_GBK" w:hAnsi="方正楷体_GBK" w:eastAsia="方正楷体_GBK" w:cs="方正楷体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C6E2">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C7F0">
            <w:pPr>
              <w:jc w:val="center"/>
              <w:rPr>
                <w:rFonts w:hint="default" w:ascii="方正楷体_GBK" w:hAnsi="方正楷体_GBK" w:eastAsia="方正楷体_GBK" w:cs="方正楷体_GBK"/>
                <w:i w:val="0"/>
                <w:iCs w:val="0"/>
                <w:color w:val="000000"/>
                <w:sz w:val="18"/>
                <w:szCs w:val="18"/>
                <w:u w:val="none"/>
              </w:rPr>
            </w:pPr>
          </w:p>
        </w:tc>
      </w:tr>
      <w:tr w14:paraId="5E56B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9831">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614A">
            <w:pPr>
              <w:keepNext w:val="0"/>
              <w:keepLines w:val="0"/>
              <w:widowControl/>
              <w:suppressLineNumbers w:val="0"/>
              <w:jc w:val="left"/>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税金</w:t>
            </w:r>
          </w:p>
        </w:tc>
        <w:tc>
          <w:tcPr>
            <w:tcW w:w="47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73BF62">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357B">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5B31">
            <w:pPr>
              <w:jc w:val="center"/>
              <w:rPr>
                <w:rFonts w:hint="default" w:ascii="方正楷体_GBK" w:hAnsi="方正楷体_GBK" w:eastAsia="方正楷体_GBK" w:cs="方正楷体_GBK"/>
                <w:i w:val="0"/>
                <w:iCs w:val="0"/>
                <w:color w:val="000000"/>
                <w:sz w:val="18"/>
                <w:szCs w:val="18"/>
                <w:u w:val="none"/>
              </w:rPr>
            </w:pPr>
          </w:p>
        </w:tc>
      </w:tr>
      <w:tr w14:paraId="7C5F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1DBB">
            <w:pPr>
              <w:keepNext w:val="0"/>
              <w:keepLines w:val="0"/>
              <w:widowControl/>
              <w:suppressLineNumbers w:val="0"/>
              <w:jc w:val="center"/>
              <w:textAlignment w:val="center"/>
              <w:rPr>
                <w:rFonts w:hint="default" w:ascii="方正楷体_GBK" w:hAnsi="方正楷体_GBK" w:eastAsia="方正楷体_GBK" w:cs="方正楷体_GBK"/>
                <w:i w:val="0"/>
                <w:iCs w:val="0"/>
                <w:color w:val="000000"/>
                <w:sz w:val="18"/>
                <w:szCs w:val="18"/>
                <w:u w:val="none"/>
              </w:rPr>
            </w:pPr>
            <w:r>
              <w:rPr>
                <w:rFonts w:hint="default" w:ascii="方正楷体_GBK" w:hAnsi="方正楷体_GBK" w:eastAsia="方正楷体_GBK" w:cs="方正楷体_GBK"/>
                <w:i w:val="0"/>
                <w:iCs w:val="0"/>
                <w:color w:val="000000"/>
                <w:kern w:val="0"/>
                <w:sz w:val="18"/>
                <w:szCs w:val="18"/>
                <w:u w:val="none"/>
                <w:lang w:val="en-US" w:eastAsia="zh-CN" w:bidi="ar"/>
              </w:rPr>
              <w:t>32</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45BC">
            <w:pPr>
              <w:keepNext w:val="0"/>
              <w:keepLines w:val="0"/>
              <w:widowControl/>
              <w:suppressLineNumbers w:val="0"/>
              <w:jc w:val="center"/>
              <w:textAlignment w:val="center"/>
              <w:rPr>
                <w:rFonts w:hint="default" w:ascii="方正楷体_GBK" w:hAnsi="方正楷体_GBK" w:eastAsia="方正楷体_GBK" w:cs="方正楷体_GBK"/>
                <w:b/>
                <w:bCs/>
                <w:i w:val="0"/>
                <w:iCs w:val="0"/>
                <w:color w:val="000000"/>
                <w:sz w:val="16"/>
                <w:szCs w:val="16"/>
                <w:u w:val="none"/>
              </w:rPr>
            </w:pPr>
            <w:r>
              <w:rPr>
                <w:rFonts w:hint="default" w:ascii="方正楷体_GBK" w:hAnsi="方正楷体_GBK" w:eastAsia="方正楷体_GBK" w:cs="方正楷体_GBK"/>
                <w:b/>
                <w:bCs/>
                <w:i w:val="0"/>
                <w:iCs w:val="0"/>
                <w:color w:val="000000"/>
                <w:kern w:val="0"/>
                <w:sz w:val="16"/>
                <w:szCs w:val="16"/>
                <w:u w:val="none"/>
                <w:lang w:val="en-US" w:eastAsia="zh-CN" w:bidi="ar"/>
              </w:rPr>
              <w:t>多联机空调含税合计</w:t>
            </w:r>
          </w:p>
        </w:tc>
        <w:tc>
          <w:tcPr>
            <w:tcW w:w="47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6CFF88">
            <w:pPr>
              <w:jc w:val="center"/>
              <w:rPr>
                <w:rFonts w:hint="default" w:ascii="方正楷体_GBK" w:hAnsi="方正楷体_GBK" w:eastAsia="方正楷体_GBK" w:cs="方正楷体_GBK"/>
                <w:b/>
                <w:bCs/>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F626">
            <w:pPr>
              <w:keepNext w:val="0"/>
              <w:keepLines w:val="0"/>
              <w:widowControl/>
              <w:suppressLineNumbers w:val="0"/>
              <w:jc w:val="center"/>
              <w:textAlignment w:val="center"/>
              <w:rPr>
                <w:rFonts w:hint="default" w:ascii="方正楷体_GBK" w:hAnsi="方正楷体_GBK" w:eastAsia="方正楷体_GBK" w:cs="方正楷体_GBK"/>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7B9F">
            <w:pPr>
              <w:jc w:val="center"/>
              <w:rPr>
                <w:rFonts w:hint="default" w:ascii="方正楷体_GBK" w:hAnsi="方正楷体_GBK" w:eastAsia="方正楷体_GBK" w:cs="方正楷体_GBK"/>
                <w:i w:val="0"/>
                <w:iCs w:val="0"/>
                <w:color w:val="000000"/>
                <w:sz w:val="18"/>
                <w:szCs w:val="18"/>
                <w:u w:val="none"/>
              </w:rPr>
            </w:pPr>
          </w:p>
        </w:tc>
      </w:tr>
    </w:tbl>
    <w:p w14:paraId="3BC0FB4E">
      <w:pPr>
        <w:rPr>
          <w:rFonts w:hint="eastAsia" w:ascii="Times New Roman" w:hAnsi="Times New Roman" w:eastAsia="方正小标宋_GBK" w:cs="Times New Roman"/>
          <w:highlight w:val="none"/>
          <w:lang w:eastAsia="zh-CN"/>
        </w:rPr>
      </w:pPr>
    </w:p>
    <w:p w14:paraId="65A507B3">
      <w:pPr>
        <w:rPr>
          <w:rFonts w:ascii="Times New Roman" w:hAnsi="Times New Roman" w:eastAsia="方正小标宋_GBK" w:cs="Times New Roman"/>
          <w:highlight w:val="none"/>
        </w:rPr>
      </w:pPr>
      <w:r>
        <w:rPr>
          <w:rFonts w:ascii="Times New Roman" w:hAnsi="Times New Roman" w:eastAsia="方正小标宋_GBK" w:cs="Times New Roman"/>
          <w:highlight w:val="none"/>
        </w:rPr>
        <w:br w:type="page"/>
      </w:r>
    </w:p>
    <w:p w14:paraId="52161BA5">
      <w:pPr>
        <w:pStyle w:val="2"/>
        <w:numPr>
          <w:ilvl w:val="0"/>
          <w:numId w:val="0"/>
        </w:numPr>
        <w:spacing w:before="0" w:after="0" w:line="520" w:lineRule="exact"/>
        <w:ind w:firstLine="2201" w:firstLineChars="500"/>
        <w:jc w:val="both"/>
        <w:rPr>
          <w:rFonts w:ascii="Times New Roman" w:hAnsi="Times New Roman" w:eastAsia="方正小标宋_GBK" w:cs="Times New Roman"/>
          <w:highlight w:val="none"/>
        </w:rPr>
      </w:pPr>
      <w:r>
        <w:rPr>
          <w:rFonts w:ascii="Times New Roman" w:hAnsi="Times New Roman" w:eastAsia="方正小标宋_GBK" w:cs="Times New Roman"/>
          <w:highlight w:val="none"/>
        </w:rPr>
        <w:t>第四章 评标原则</w:t>
      </w:r>
    </w:p>
    <w:p w14:paraId="0D9393DA">
      <w:pPr>
        <w:shd w:val="clear"/>
        <w:spacing w:line="520" w:lineRule="exact"/>
        <w:ind w:firstLine="640" w:firstLineChars="200"/>
        <w:rPr>
          <w:rFonts w:hint="eastAsia" w:ascii="Times New Roman" w:hAnsi="Times New Roman" w:eastAsia="方正仿宋_GBK" w:cs="Times New Roman"/>
          <w:bCs/>
          <w:color w:val="auto"/>
          <w:kern w:val="0"/>
          <w:sz w:val="32"/>
          <w:szCs w:val="32"/>
          <w:highlight w:val="none"/>
          <w:lang w:val="en-US" w:eastAsia="zh-CN" w:bidi="en-US"/>
        </w:rPr>
      </w:pPr>
      <w:bookmarkStart w:id="218" w:name="_Toc531594799"/>
      <w:bookmarkStart w:id="219" w:name="_Toc454373093"/>
      <w:bookmarkStart w:id="220" w:name="_Toc484637076"/>
      <w:bookmarkStart w:id="221" w:name="_Toc481694471"/>
      <w:r>
        <w:rPr>
          <w:rFonts w:hint="eastAsia" w:ascii="Times New Roman" w:hAnsi="Times New Roman" w:eastAsia="方正仿宋_GBK" w:cs="Times New Roman"/>
          <w:bCs/>
          <w:color w:val="auto"/>
          <w:kern w:val="0"/>
          <w:sz w:val="32"/>
          <w:szCs w:val="32"/>
          <w:highlight w:val="none"/>
          <w:lang w:val="en-US" w:eastAsia="zh-CN" w:bidi="en-US"/>
        </w:rPr>
        <w:t>本项目采用合理低价评标法，在满足招标文件全部实质性要求的条件下，综合考虑有效投标文件的报价、售后服务、公司信誉、技术能力、商务等因素，综合确定中标候选人。</w:t>
      </w:r>
    </w:p>
    <w:p w14:paraId="38E2B69A">
      <w:pPr>
        <w:shd w:val="clear"/>
        <w:spacing w:line="520" w:lineRule="exact"/>
        <w:rPr>
          <w:rFonts w:hint="eastAsia" w:ascii="Times New Roman" w:hAnsi="Times New Roman" w:eastAsia="方正仿宋_GBK" w:cs="Times New Roman"/>
          <w:bCs/>
          <w:color w:val="auto"/>
          <w:kern w:val="0"/>
          <w:sz w:val="32"/>
          <w:szCs w:val="32"/>
          <w:highlight w:val="none"/>
          <w:lang w:val="en-US" w:eastAsia="zh-CN" w:bidi="en-US"/>
        </w:rPr>
      </w:pPr>
    </w:p>
    <w:p w14:paraId="1AFD47D9">
      <w:pPr>
        <w:shd w:val="clear"/>
        <w:spacing w:line="520" w:lineRule="exact"/>
        <w:rPr>
          <w:rFonts w:hint="eastAsia" w:ascii="Times New Roman" w:hAnsi="Times New Roman" w:eastAsia="方正仿宋_GBK" w:cs="Times New Roman"/>
          <w:bCs/>
          <w:color w:val="auto"/>
          <w:kern w:val="0"/>
          <w:sz w:val="32"/>
          <w:szCs w:val="32"/>
          <w:highlight w:val="none"/>
          <w:lang w:val="en-US" w:eastAsia="zh-CN" w:bidi="en-US"/>
        </w:rPr>
      </w:pPr>
    </w:p>
    <w:p w14:paraId="21ACC824">
      <w:pPr>
        <w:shd w:val="clear"/>
        <w:spacing w:line="520" w:lineRule="exact"/>
        <w:rPr>
          <w:rFonts w:hint="eastAsia" w:ascii="Times New Roman" w:hAnsi="Times New Roman" w:eastAsia="方正仿宋_GBK" w:cs="Times New Roman"/>
          <w:bCs/>
          <w:color w:val="auto"/>
          <w:kern w:val="0"/>
          <w:sz w:val="32"/>
          <w:szCs w:val="32"/>
          <w:highlight w:val="none"/>
          <w:lang w:val="en-US" w:eastAsia="zh-CN" w:bidi="en-US"/>
        </w:rPr>
      </w:pPr>
    </w:p>
    <w:p w14:paraId="0A57D2D3">
      <w:pPr>
        <w:pStyle w:val="2"/>
        <w:numPr>
          <w:ilvl w:val="0"/>
          <w:numId w:val="0"/>
        </w:numPr>
        <w:spacing w:before="0" w:after="0" w:line="520" w:lineRule="exact"/>
        <w:jc w:val="both"/>
        <w:rPr>
          <w:rFonts w:hint="default" w:ascii="方正小标宋_GBK" w:hAnsi="方正小标宋_GBK" w:eastAsia="方正小标宋_GBK" w:cs="方正小标宋_GBK"/>
          <w:b w:val="0"/>
          <w:bCs w:val="0"/>
          <w:highlight w:val="none"/>
          <w:lang w:val="en-US" w:eastAsia="zh-CN"/>
        </w:rPr>
      </w:pPr>
      <w:bookmarkStart w:id="222" w:name="_第五章 投标文件格式"/>
    </w:p>
    <w:p w14:paraId="7CFEA542">
      <w:pPr>
        <w:pStyle w:val="2"/>
        <w:numPr>
          <w:ilvl w:val="0"/>
          <w:numId w:val="0"/>
        </w:numPr>
        <w:spacing w:before="0" w:after="0" w:line="520" w:lineRule="exact"/>
        <w:jc w:val="both"/>
        <w:rPr>
          <w:rFonts w:hint="eastAsia" w:ascii="方正小标宋_GBK" w:hAnsi="方正小标宋_GBK" w:eastAsia="方正小标宋_GBK" w:cs="方正小标宋_GBK"/>
          <w:b w:val="0"/>
          <w:bCs w:val="0"/>
          <w:highlight w:val="none"/>
          <w:lang w:val="en-US" w:eastAsia="zh-CN"/>
        </w:rPr>
      </w:pPr>
      <w:r>
        <w:rPr>
          <w:rFonts w:hint="eastAsia" w:ascii="方正小标宋_GBK" w:hAnsi="方正小标宋_GBK" w:eastAsia="方正小标宋_GBK" w:cs="方正小标宋_GBK"/>
          <w:b w:val="0"/>
          <w:bCs w:val="0"/>
          <w:highlight w:val="none"/>
          <w:lang w:val="en-US" w:eastAsia="zh-CN"/>
        </w:rPr>
        <w:t xml:space="preserve"> </w:t>
      </w:r>
    </w:p>
    <w:p w14:paraId="04308C72">
      <w:pPr>
        <w:pStyle w:val="2"/>
        <w:numPr>
          <w:ilvl w:val="0"/>
          <w:numId w:val="0"/>
        </w:numPr>
        <w:spacing w:before="0" w:after="0" w:line="520" w:lineRule="exact"/>
        <w:jc w:val="both"/>
        <w:rPr>
          <w:rFonts w:hint="eastAsia" w:ascii="方正小标宋_GBK" w:hAnsi="方正小标宋_GBK" w:eastAsia="方正小标宋_GBK" w:cs="方正小标宋_GBK"/>
          <w:b w:val="0"/>
          <w:bCs w:val="0"/>
          <w:highlight w:val="none"/>
          <w:lang w:val="en-US" w:eastAsia="zh-CN"/>
        </w:rPr>
      </w:pPr>
      <w:r>
        <w:rPr>
          <w:rFonts w:hint="eastAsia" w:ascii="方正小标宋_GBK" w:hAnsi="方正小标宋_GBK" w:eastAsia="方正小标宋_GBK" w:cs="方正小标宋_GBK"/>
          <w:b w:val="0"/>
          <w:bCs w:val="0"/>
          <w:highlight w:val="none"/>
          <w:lang w:val="en-US" w:eastAsia="zh-CN"/>
        </w:rPr>
        <w:t xml:space="preserve"> </w:t>
      </w:r>
    </w:p>
    <w:p w14:paraId="445F7710">
      <w:pPr>
        <w:rPr>
          <w:rFonts w:hint="default" w:ascii="方正小标宋_GBK" w:hAnsi="方正小标宋_GBK" w:eastAsia="方正小标宋_GBK" w:cs="方正小标宋_GBK"/>
          <w:b w:val="0"/>
          <w:bCs w:val="0"/>
          <w:highlight w:val="none"/>
          <w:lang w:val="en-US" w:eastAsia="zh-CN"/>
        </w:rPr>
      </w:pPr>
      <w:r>
        <w:rPr>
          <w:rFonts w:hint="default" w:ascii="方正小标宋_GBK" w:hAnsi="方正小标宋_GBK" w:eastAsia="方正小标宋_GBK" w:cs="方正小标宋_GBK"/>
          <w:b w:val="0"/>
          <w:bCs w:val="0"/>
          <w:highlight w:val="none"/>
          <w:lang w:val="en-US" w:eastAsia="zh-CN"/>
        </w:rPr>
        <w:br w:type="page"/>
      </w:r>
    </w:p>
    <w:p w14:paraId="6596CB6A">
      <w:pPr>
        <w:pStyle w:val="2"/>
        <w:numPr>
          <w:ilvl w:val="0"/>
          <w:numId w:val="0"/>
        </w:numPr>
        <w:spacing w:before="0" w:after="0" w:line="520" w:lineRule="exact"/>
        <w:jc w:val="center"/>
        <w:rPr>
          <w:rFonts w:hint="eastAsia" w:ascii="方正小标宋_GBK" w:hAnsi="方正小标宋_GBK" w:eastAsia="方正小标宋_GBK" w:cs="方正小标宋_GBK"/>
          <w:b w:val="0"/>
          <w:bCs w:val="0"/>
          <w:highlight w:val="none"/>
        </w:rPr>
      </w:pPr>
      <w:r>
        <w:rPr>
          <w:rFonts w:hint="eastAsia" w:ascii="方正小标宋_GBK" w:hAnsi="方正小标宋_GBK" w:eastAsia="方正小标宋_GBK" w:cs="方正小标宋_GBK"/>
          <w:b w:val="0"/>
          <w:bCs w:val="0"/>
          <w:highlight w:val="none"/>
        </w:rPr>
        <w:t>第五章 投标文件格式</w:t>
      </w:r>
      <w:bookmarkEnd w:id="218"/>
      <w:bookmarkEnd w:id="219"/>
      <w:bookmarkEnd w:id="220"/>
      <w:bookmarkEnd w:id="221"/>
    </w:p>
    <w:bookmarkEnd w:id="222"/>
    <w:p w14:paraId="0452A634">
      <w:pPr>
        <w:spacing w:line="520" w:lineRule="exact"/>
        <w:rPr>
          <w:rFonts w:hint="eastAsia" w:ascii="仿宋" w:hAnsi="仿宋" w:eastAsia="仿宋" w:cs="仿宋"/>
          <w:b/>
          <w:sz w:val="28"/>
          <w:szCs w:val="28"/>
          <w:highlight w:val="none"/>
        </w:rPr>
      </w:pPr>
      <w:bookmarkStart w:id="223" w:name="_Toc425408086"/>
      <w:bookmarkStart w:id="224" w:name="_Toc217446082"/>
      <w:r>
        <w:rPr>
          <w:rFonts w:hint="eastAsia" w:ascii="仿宋" w:hAnsi="仿宋" w:eastAsia="仿宋" w:cs="仿宋"/>
          <w:b/>
          <w:sz w:val="28"/>
          <w:szCs w:val="28"/>
          <w:highlight w:val="none"/>
        </w:rPr>
        <w:t>一、投 标 函</w:t>
      </w:r>
      <w:bookmarkEnd w:id="223"/>
      <w:bookmarkEnd w:id="224"/>
    </w:p>
    <w:p w14:paraId="78996003">
      <w:pPr>
        <w:spacing w:line="52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（采购人）：</w:t>
      </w:r>
    </w:p>
    <w:p w14:paraId="6F4CE481">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我方全面研究了“  ”项目招标文件，决定参加贵单位组织的本项目投标。我方授权（姓名、职务）代表我方（投标单位的名称）全权处理本项目投标的有关事宜。</w:t>
      </w:r>
    </w:p>
    <w:p w14:paraId="5907FBA3">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1.我方自愿按照招标文件规定的各项要求向采购人提供所需货物/服务，总投标价为人民币    万元（大写：）。</w:t>
      </w:r>
    </w:p>
    <w:p w14:paraId="6326DB5A">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2.一旦我方中标，我方将严格履行合同规定的责任和义务，保证于合同签字生效后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日内完成项目的安装、调试，并交付采购人验收、使用。</w:t>
      </w:r>
    </w:p>
    <w:p w14:paraId="451E42C1">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3.我方为本项目提交的投标文件正本</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份，副本</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份，用于开标唱标的“开标一览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w:t>
      </w:r>
    </w:p>
    <w:p w14:paraId="5CDB1CFD">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4.我方愿意提供贵单位可能另外要求的，与投标有关的文件资料，并保证我方已提供和将要提供的文件资料是真实、准确的。</w:t>
      </w:r>
    </w:p>
    <w:p w14:paraId="427C2225">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5.我方完全理解采购人不一定将合同授予最低报价的投标人的行为。</w:t>
      </w:r>
    </w:p>
    <w:p w14:paraId="5CFCBE97">
      <w:pPr>
        <w:spacing w:line="520" w:lineRule="exact"/>
        <w:ind w:firstLine="537" w:firstLineChars="192"/>
        <w:rPr>
          <w:rFonts w:hint="eastAsia" w:ascii="仿宋" w:hAnsi="仿宋" w:eastAsia="仿宋" w:cs="仿宋"/>
          <w:sz w:val="28"/>
          <w:szCs w:val="28"/>
          <w:highlight w:val="none"/>
        </w:rPr>
      </w:pPr>
    </w:p>
    <w:p w14:paraId="542011E3">
      <w:pPr>
        <w:spacing w:line="520" w:lineRule="exact"/>
        <w:ind w:firstLine="537" w:firstLineChars="192"/>
        <w:rPr>
          <w:rFonts w:hint="eastAsia" w:ascii="仿宋" w:hAnsi="仿宋" w:eastAsia="仿宋" w:cs="仿宋"/>
          <w:sz w:val="28"/>
          <w:szCs w:val="28"/>
          <w:highlight w:val="none"/>
        </w:rPr>
      </w:pPr>
    </w:p>
    <w:p w14:paraId="6478F1F2">
      <w:pPr>
        <w:spacing w:line="520" w:lineRule="exact"/>
        <w:ind w:firstLine="537" w:firstLineChars="192"/>
        <w:rPr>
          <w:rFonts w:hint="eastAsia" w:ascii="仿宋" w:hAnsi="仿宋" w:eastAsia="仿宋" w:cs="仿宋"/>
          <w:sz w:val="28"/>
          <w:szCs w:val="28"/>
          <w:highlight w:val="none"/>
        </w:rPr>
      </w:pPr>
    </w:p>
    <w:p w14:paraId="68352BD9">
      <w:pPr>
        <w:spacing w:line="520" w:lineRule="exact"/>
        <w:rPr>
          <w:rFonts w:hint="eastAsia" w:ascii="仿宋" w:hAnsi="仿宋" w:eastAsia="仿宋" w:cs="仿宋"/>
          <w:sz w:val="28"/>
          <w:szCs w:val="28"/>
          <w:highlight w:val="none"/>
        </w:rPr>
      </w:pPr>
    </w:p>
    <w:p w14:paraId="05DB58EA">
      <w:pPr>
        <w:spacing w:line="520" w:lineRule="exact"/>
        <w:rPr>
          <w:rFonts w:hint="eastAsia" w:ascii="仿宋" w:hAnsi="仿宋" w:eastAsia="仿宋" w:cs="仿宋"/>
          <w:sz w:val="28"/>
          <w:szCs w:val="28"/>
          <w:highlight w:val="none"/>
        </w:rPr>
      </w:pPr>
    </w:p>
    <w:p w14:paraId="51EEFA48">
      <w:pPr>
        <w:spacing w:line="520" w:lineRule="exact"/>
        <w:rPr>
          <w:rFonts w:hint="eastAsia" w:ascii="仿宋" w:hAnsi="仿宋" w:eastAsia="仿宋" w:cs="仿宋"/>
          <w:sz w:val="28"/>
          <w:szCs w:val="28"/>
          <w:highlight w:val="none"/>
        </w:rPr>
      </w:pPr>
    </w:p>
    <w:p w14:paraId="1116DA0E">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投标人名称（盖章）：        </w:t>
      </w:r>
    </w:p>
    <w:p w14:paraId="5091D284">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法定代表人或授权代表（签字）：</w:t>
      </w:r>
    </w:p>
    <w:p w14:paraId="2A47F35F">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p w14:paraId="26B0659C">
      <w:pPr>
        <w:spacing w:line="520" w:lineRule="exact"/>
        <w:rPr>
          <w:rFonts w:hint="eastAsia" w:ascii="仿宋" w:hAnsi="仿宋" w:eastAsia="仿宋" w:cs="仿宋"/>
          <w:b/>
          <w:sz w:val="28"/>
          <w:szCs w:val="28"/>
          <w:highlight w:val="none"/>
        </w:rPr>
      </w:pPr>
      <w:bookmarkStart w:id="225" w:name="_Toc425408087"/>
    </w:p>
    <w:p w14:paraId="363D4A6F">
      <w:pPr>
        <w:spacing w:line="520" w:lineRule="exact"/>
        <w:rPr>
          <w:rFonts w:hint="eastAsia" w:ascii="仿宋" w:hAnsi="仿宋" w:eastAsia="仿宋" w:cs="仿宋"/>
          <w:b/>
          <w:sz w:val="28"/>
          <w:szCs w:val="28"/>
          <w:highlight w:val="none"/>
        </w:rPr>
      </w:pPr>
      <w:r>
        <w:rPr>
          <w:rFonts w:hint="eastAsia" w:ascii="仿宋" w:hAnsi="仿宋" w:eastAsia="仿宋" w:cs="仿宋"/>
          <w:b/>
          <w:sz w:val="28"/>
          <w:szCs w:val="28"/>
          <w:highlight w:val="none"/>
        </w:rPr>
        <w:t>二、法定代表人授权书</w:t>
      </w:r>
      <w:bookmarkEnd w:id="225"/>
    </w:p>
    <w:p w14:paraId="27908D07">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__________________（采购人）：</w:t>
      </w:r>
    </w:p>
    <w:p w14:paraId="74F3602D">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本授权声明：（投标人名称）（法定代表人姓名、职务）授权（被授权人姓名、职务）为我方 “ ” 项目投标活动的合法代表，以我方名义全权处理该项目有关投标、签订合同以及执行合同等一切事宜。</w:t>
      </w:r>
    </w:p>
    <w:p w14:paraId="4648D114">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622B7E4B">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w:t>
      </w:r>
    </w:p>
    <w:p w14:paraId="7BB4297C">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授权代表签字：</w:t>
      </w:r>
    </w:p>
    <w:p w14:paraId="1157A69E">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投标人名称（盖章）：         </w:t>
      </w:r>
    </w:p>
    <w:p w14:paraId="3E602142">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p w14:paraId="1A8EE30F">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附：法定代表人</w:t>
      </w:r>
      <w:r>
        <w:rPr>
          <w:rFonts w:hint="eastAsia" w:ascii="仿宋" w:hAnsi="仿宋" w:eastAsia="仿宋" w:cs="仿宋"/>
          <w:sz w:val="28"/>
          <w:szCs w:val="28"/>
          <w:highlight w:val="none"/>
          <w:lang w:val="en-US" w:eastAsia="zh-CN"/>
        </w:rPr>
        <w:t>及被授权人</w:t>
      </w:r>
      <w:r>
        <w:rPr>
          <w:rFonts w:hint="eastAsia" w:ascii="仿宋" w:hAnsi="仿宋" w:eastAsia="仿宋" w:cs="仿宋"/>
          <w:sz w:val="28"/>
          <w:szCs w:val="28"/>
          <w:highlight w:val="none"/>
        </w:rPr>
        <w:t>身份证身印件　　</w:t>
      </w:r>
    </w:p>
    <w:p w14:paraId="374A1375">
      <w:pPr>
        <w:spacing w:line="520" w:lineRule="exact"/>
        <w:ind w:firstLine="537" w:firstLineChars="192"/>
        <w:rPr>
          <w:rFonts w:hint="eastAsia" w:ascii="仿宋" w:hAnsi="仿宋" w:eastAsia="仿宋" w:cs="仿宋"/>
          <w:sz w:val="28"/>
          <w:szCs w:val="28"/>
          <w:highlight w:val="none"/>
        </w:rPr>
      </w:pPr>
    </w:p>
    <w:p w14:paraId="40760BBF">
      <w:pPr>
        <w:pStyle w:val="23"/>
        <w:spacing w:line="52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（若法定代表人亲自参加投标活动，需提供法定代表人身份证明，格式如下）</w:t>
      </w:r>
    </w:p>
    <w:p w14:paraId="390DFE7E">
      <w:pPr>
        <w:pStyle w:val="38"/>
        <w:spacing w:line="520" w:lineRule="exact"/>
        <w:jc w:val="center"/>
        <w:rPr>
          <w:rFonts w:hint="eastAsia" w:ascii="仿宋" w:hAnsi="仿宋" w:eastAsia="仿宋" w:cs="仿宋"/>
          <w:sz w:val="28"/>
          <w:szCs w:val="28"/>
          <w:highlight w:val="none"/>
        </w:rPr>
      </w:pPr>
      <w:r>
        <w:rPr>
          <w:rStyle w:val="45"/>
          <w:rFonts w:hint="eastAsia" w:ascii="仿宋" w:hAnsi="仿宋" w:eastAsia="仿宋" w:cs="仿宋"/>
          <w:sz w:val="28"/>
          <w:szCs w:val="28"/>
          <w:highlight w:val="none"/>
        </w:rPr>
        <w:t>法定代表人身份证明书</w:t>
      </w:r>
    </w:p>
    <w:p w14:paraId="70C0A039">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×××（姓名、性别、年龄）在我公司（或者企业、单位）任×××（董事长、总经理等）职务，是我公司（或者企业、单位）的法定代表人。　　</w:t>
      </w:r>
    </w:p>
    <w:p w14:paraId="342F533E">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特此证明。　　</w:t>
      </w:r>
    </w:p>
    <w:p w14:paraId="6968D7F5">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×××公司（单位全称加盖公章） 　　</w:t>
      </w:r>
    </w:p>
    <w:p w14:paraId="58F31AA0">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×年×月×日 　　</w:t>
      </w:r>
    </w:p>
    <w:p w14:paraId="3B9D7D63">
      <w:pPr>
        <w:spacing w:line="520" w:lineRule="exact"/>
        <w:ind w:firstLine="560" w:firstLineChars="200"/>
        <w:rPr>
          <w:rFonts w:hint="eastAsia" w:ascii="仿宋" w:hAnsi="仿宋" w:eastAsia="仿宋" w:cs="仿宋"/>
          <w:sz w:val="28"/>
          <w:szCs w:val="28"/>
          <w:highlight w:val="none"/>
        </w:rPr>
      </w:pPr>
    </w:p>
    <w:p w14:paraId="6448AA83">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法定代表人住址： 　　</w:t>
      </w:r>
    </w:p>
    <w:p w14:paraId="0DDA7E6C">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电话： </w:t>
      </w:r>
    </w:p>
    <w:p w14:paraId="55B8CBFA">
      <w:pPr>
        <w:spacing w:line="52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附：法定代表人身份证身印件　　</w:t>
      </w:r>
    </w:p>
    <w:p w14:paraId="30521019">
      <w:pPr>
        <w:spacing w:line="500" w:lineRule="exact"/>
        <w:ind w:firstLine="463" w:firstLineChars="192"/>
        <w:rPr>
          <w:rFonts w:hint="eastAsia" w:asciiTheme="minorEastAsia" w:hAnsiTheme="minorEastAsia" w:eastAsiaTheme="minorEastAsia"/>
          <w:b/>
          <w:szCs w:val="28"/>
          <w:highlight w:val="none"/>
        </w:rPr>
        <w:sectPr>
          <w:headerReference r:id="rId3" w:type="default"/>
          <w:footerReference r:id="rId4" w:type="default"/>
          <w:pgSz w:w="11907" w:h="16840"/>
          <w:pgMar w:top="1440" w:right="1466" w:bottom="1440" w:left="1440" w:header="851" w:footer="992" w:gutter="0"/>
          <w:cols w:space="425" w:num="1"/>
          <w:docGrid w:linePitch="312" w:charSpace="0"/>
        </w:sectPr>
      </w:pPr>
    </w:p>
    <w:p w14:paraId="1215787E">
      <w:pPr>
        <w:autoSpaceDE w:val="0"/>
        <w:autoSpaceDN w:val="0"/>
        <w:adjustRightInd w:val="0"/>
        <w:snapToGrid w:val="0"/>
        <w:spacing w:line="360" w:lineRule="auto"/>
        <w:jc w:val="left"/>
        <w:outlineLvl w:val="1"/>
        <w:rPr>
          <w:rFonts w:hint="eastAsia" w:ascii="仿宋" w:hAnsi="仿宋" w:eastAsia="仿宋" w:cs="仿宋"/>
          <w:b/>
          <w:w w:val="99"/>
          <w:kern w:val="0"/>
          <w:sz w:val="28"/>
          <w:szCs w:val="28"/>
          <w:highlight w:val="none"/>
          <w:lang w:val="zh-CN"/>
        </w:rPr>
      </w:pPr>
      <w:r>
        <w:rPr>
          <w:rFonts w:hint="eastAsia" w:ascii="仿宋" w:hAnsi="仿宋" w:eastAsia="仿宋" w:cs="仿宋"/>
          <w:b/>
          <w:w w:val="99"/>
          <w:kern w:val="0"/>
          <w:sz w:val="28"/>
          <w:szCs w:val="28"/>
          <w:highlight w:val="none"/>
          <w:lang w:val="zh-CN"/>
        </w:rPr>
        <w:t>三、投标人基本情况表</w:t>
      </w:r>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14:paraId="3E659A5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09FB99B3">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投标人名称</w:t>
            </w:r>
          </w:p>
        </w:tc>
        <w:tc>
          <w:tcPr>
            <w:tcW w:w="7308" w:type="dxa"/>
            <w:gridSpan w:val="9"/>
            <w:vAlign w:val="center"/>
          </w:tcPr>
          <w:p w14:paraId="3BFB44A9">
            <w:pPr>
              <w:spacing w:line="500" w:lineRule="exact"/>
              <w:rPr>
                <w:rFonts w:hint="eastAsia" w:ascii="宋体" w:hAnsi="宋体" w:cs="宋体"/>
                <w:kern w:val="0"/>
                <w:sz w:val="21"/>
                <w:szCs w:val="21"/>
                <w:highlight w:val="none"/>
              </w:rPr>
            </w:pPr>
          </w:p>
        </w:tc>
      </w:tr>
      <w:tr w14:paraId="6E2872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115B6CE2">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注册地址</w:t>
            </w:r>
          </w:p>
        </w:tc>
        <w:tc>
          <w:tcPr>
            <w:tcW w:w="3165" w:type="dxa"/>
            <w:gridSpan w:val="5"/>
            <w:vAlign w:val="center"/>
          </w:tcPr>
          <w:p w14:paraId="77954F7B">
            <w:pPr>
              <w:spacing w:line="500" w:lineRule="exact"/>
              <w:rPr>
                <w:rFonts w:hint="eastAsia" w:ascii="宋体" w:hAnsi="宋体" w:cs="宋体"/>
                <w:kern w:val="0"/>
                <w:sz w:val="21"/>
                <w:szCs w:val="21"/>
                <w:highlight w:val="none"/>
              </w:rPr>
            </w:pPr>
          </w:p>
        </w:tc>
        <w:tc>
          <w:tcPr>
            <w:tcW w:w="1319" w:type="dxa"/>
            <w:vAlign w:val="center"/>
          </w:tcPr>
          <w:p w14:paraId="3C56544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邮政编码</w:t>
            </w:r>
          </w:p>
        </w:tc>
        <w:tc>
          <w:tcPr>
            <w:tcW w:w="2824" w:type="dxa"/>
            <w:gridSpan w:val="3"/>
            <w:vAlign w:val="center"/>
          </w:tcPr>
          <w:p w14:paraId="0B051AD3">
            <w:pPr>
              <w:spacing w:line="500" w:lineRule="exact"/>
              <w:rPr>
                <w:rFonts w:hint="eastAsia" w:ascii="宋体" w:hAnsi="宋体" w:cs="宋体"/>
                <w:kern w:val="0"/>
                <w:sz w:val="21"/>
                <w:szCs w:val="21"/>
                <w:highlight w:val="none"/>
              </w:rPr>
            </w:pPr>
          </w:p>
        </w:tc>
      </w:tr>
      <w:tr w14:paraId="7929B9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14:paraId="232D5E08">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联系方式</w:t>
            </w:r>
          </w:p>
        </w:tc>
        <w:tc>
          <w:tcPr>
            <w:tcW w:w="1080" w:type="dxa"/>
            <w:gridSpan w:val="2"/>
            <w:vAlign w:val="center"/>
          </w:tcPr>
          <w:p w14:paraId="59F09045">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联系人</w:t>
            </w:r>
          </w:p>
        </w:tc>
        <w:tc>
          <w:tcPr>
            <w:tcW w:w="2077" w:type="dxa"/>
            <w:gridSpan w:val="2"/>
            <w:vAlign w:val="center"/>
          </w:tcPr>
          <w:p w14:paraId="6D72C851">
            <w:pPr>
              <w:spacing w:line="500" w:lineRule="exact"/>
              <w:rPr>
                <w:rFonts w:hint="eastAsia" w:ascii="宋体" w:hAnsi="宋体" w:cs="宋体"/>
                <w:kern w:val="0"/>
                <w:sz w:val="21"/>
                <w:szCs w:val="21"/>
                <w:highlight w:val="none"/>
              </w:rPr>
            </w:pPr>
          </w:p>
        </w:tc>
        <w:tc>
          <w:tcPr>
            <w:tcW w:w="1327" w:type="dxa"/>
            <w:gridSpan w:val="2"/>
            <w:vAlign w:val="center"/>
          </w:tcPr>
          <w:p w14:paraId="6E196184">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2824" w:type="dxa"/>
            <w:gridSpan w:val="3"/>
            <w:vAlign w:val="center"/>
          </w:tcPr>
          <w:p w14:paraId="035C7578">
            <w:pPr>
              <w:spacing w:line="500" w:lineRule="exact"/>
              <w:rPr>
                <w:rFonts w:hint="eastAsia" w:ascii="宋体" w:hAnsi="宋体" w:cs="宋体"/>
                <w:kern w:val="0"/>
                <w:sz w:val="21"/>
                <w:szCs w:val="21"/>
                <w:highlight w:val="none"/>
              </w:rPr>
            </w:pPr>
          </w:p>
        </w:tc>
      </w:tr>
      <w:tr w14:paraId="45E8FC5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14:paraId="064E6663">
            <w:pPr>
              <w:spacing w:line="500" w:lineRule="exact"/>
              <w:rPr>
                <w:rFonts w:hint="eastAsia" w:ascii="宋体" w:hAnsi="宋体" w:cs="宋体"/>
                <w:kern w:val="0"/>
                <w:sz w:val="21"/>
                <w:szCs w:val="21"/>
                <w:highlight w:val="none"/>
              </w:rPr>
            </w:pPr>
          </w:p>
        </w:tc>
        <w:tc>
          <w:tcPr>
            <w:tcW w:w="1080" w:type="dxa"/>
            <w:gridSpan w:val="2"/>
            <w:vAlign w:val="center"/>
          </w:tcPr>
          <w:p w14:paraId="268FDEBC">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传真</w:t>
            </w:r>
          </w:p>
        </w:tc>
        <w:tc>
          <w:tcPr>
            <w:tcW w:w="2077" w:type="dxa"/>
            <w:gridSpan w:val="2"/>
            <w:vAlign w:val="center"/>
          </w:tcPr>
          <w:p w14:paraId="6A0BC775">
            <w:pPr>
              <w:spacing w:line="500" w:lineRule="exact"/>
              <w:rPr>
                <w:rFonts w:hint="eastAsia" w:ascii="宋体" w:hAnsi="宋体" w:cs="宋体"/>
                <w:kern w:val="0"/>
                <w:sz w:val="21"/>
                <w:szCs w:val="21"/>
                <w:highlight w:val="none"/>
              </w:rPr>
            </w:pPr>
          </w:p>
        </w:tc>
        <w:tc>
          <w:tcPr>
            <w:tcW w:w="1327" w:type="dxa"/>
            <w:gridSpan w:val="2"/>
            <w:vAlign w:val="center"/>
          </w:tcPr>
          <w:p w14:paraId="26052A5E">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网址</w:t>
            </w:r>
          </w:p>
        </w:tc>
        <w:tc>
          <w:tcPr>
            <w:tcW w:w="2824" w:type="dxa"/>
            <w:gridSpan w:val="3"/>
            <w:vAlign w:val="center"/>
          </w:tcPr>
          <w:p w14:paraId="6EEDF108">
            <w:pPr>
              <w:spacing w:line="500" w:lineRule="exact"/>
              <w:rPr>
                <w:rFonts w:hint="eastAsia" w:ascii="宋体" w:hAnsi="宋体" w:cs="宋体"/>
                <w:kern w:val="0"/>
                <w:sz w:val="21"/>
                <w:szCs w:val="21"/>
                <w:highlight w:val="none"/>
              </w:rPr>
            </w:pPr>
          </w:p>
        </w:tc>
      </w:tr>
      <w:tr w14:paraId="1FB371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48D27896">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组织结构</w:t>
            </w:r>
          </w:p>
        </w:tc>
        <w:tc>
          <w:tcPr>
            <w:tcW w:w="7308" w:type="dxa"/>
            <w:gridSpan w:val="9"/>
            <w:vAlign w:val="center"/>
          </w:tcPr>
          <w:p w14:paraId="18EDB776">
            <w:pPr>
              <w:spacing w:line="500" w:lineRule="exact"/>
              <w:rPr>
                <w:rFonts w:hint="eastAsia" w:ascii="宋体" w:hAnsi="宋体" w:cs="宋体"/>
                <w:kern w:val="0"/>
                <w:sz w:val="21"/>
                <w:szCs w:val="21"/>
                <w:highlight w:val="none"/>
              </w:rPr>
            </w:pPr>
          </w:p>
        </w:tc>
      </w:tr>
      <w:tr w14:paraId="5AA257C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14:paraId="6FD9E99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法定代表人</w:t>
            </w:r>
          </w:p>
        </w:tc>
        <w:tc>
          <w:tcPr>
            <w:tcW w:w="696" w:type="dxa"/>
            <w:vAlign w:val="center"/>
          </w:tcPr>
          <w:p w14:paraId="7FEFC8CC">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姓名</w:t>
            </w:r>
          </w:p>
        </w:tc>
        <w:tc>
          <w:tcPr>
            <w:tcW w:w="1284" w:type="dxa"/>
            <w:gridSpan w:val="2"/>
            <w:vAlign w:val="center"/>
          </w:tcPr>
          <w:p w14:paraId="7FBB517B">
            <w:pPr>
              <w:spacing w:line="500" w:lineRule="exact"/>
              <w:rPr>
                <w:rFonts w:hint="eastAsia" w:ascii="宋体" w:hAnsi="宋体" w:cs="宋体"/>
                <w:kern w:val="0"/>
                <w:sz w:val="21"/>
                <w:szCs w:val="21"/>
                <w:highlight w:val="none"/>
              </w:rPr>
            </w:pPr>
          </w:p>
        </w:tc>
        <w:tc>
          <w:tcPr>
            <w:tcW w:w="1177" w:type="dxa"/>
            <w:vAlign w:val="center"/>
          </w:tcPr>
          <w:p w14:paraId="5171A008">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技术职称</w:t>
            </w:r>
          </w:p>
        </w:tc>
        <w:tc>
          <w:tcPr>
            <w:tcW w:w="1327" w:type="dxa"/>
            <w:gridSpan w:val="2"/>
            <w:vAlign w:val="center"/>
          </w:tcPr>
          <w:p w14:paraId="18AB45F2">
            <w:pPr>
              <w:spacing w:line="500" w:lineRule="exact"/>
              <w:rPr>
                <w:rFonts w:hint="eastAsia" w:ascii="宋体" w:hAnsi="宋体" w:cs="宋体"/>
                <w:kern w:val="0"/>
                <w:sz w:val="21"/>
                <w:szCs w:val="21"/>
                <w:highlight w:val="none"/>
              </w:rPr>
            </w:pPr>
          </w:p>
        </w:tc>
        <w:tc>
          <w:tcPr>
            <w:tcW w:w="1173" w:type="dxa"/>
            <w:gridSpan w:val="2"/>
            <w:vAlign w:val="center"/>
          </w:tcPr>
          <w:p w14:paraId="59F1F36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1651" w:type="dxa"/>
            <w:vAlign w:val="center"/>
          </w:tcPr>
          <w:p w14:paraId="34C05DE7">
            <w:pPr>
              <w:spacing w:line="500" w:lineRule="exact"/>
              <w:rPr>
                <w:rFonts w:hint="eastAsia" w:ascii="宋体" w:hAnsi="宋体" w:cs="宋体"/>
                <w:b/>
                <w:bCs/>
                <w:kern w:val="0"/>
                <w:sz w:val="21"/>
                <w:szCs w:val="21"/>
                <w:highlight w:val="none"/>
              </w:rPr>
            </w:pPr>
          </w:p>
        </w:tc>
      </w:tr>
      <w:tr w14:paraId="10AC06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14:paraId="7793ADDE">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技术负责人</w:t>
            </w:r>
          </w:p>
        </w:tc>
        <w:tc>
          <w:tcPr>
            <w:tcW w:w="696" w:type="dxa"/>
            <w:vAlign w:val="center"/>
          </w:tcPr>
          <w:p w14:paraId="58B23788">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姓名</w:t>
            </w:r>
          </w:p>
        </w:tc>
        <w:tc>
          <w:tcPr>
            <w:tcW w:w="1284" w:type="dxa"/>
            <w:gridSpan w:val="2"/>
            <w:vAlign w:val="center"/>
          </w:tcPr>
          <w:p w14:paraId="463BAE52">
            <w:pPr>
              <w:spacing w:line="500" w:lineRule="exact"/>
              <w:rPr>
                <w:rFonts w:hint="eastAsia" w:ascii="宋体" w:hAnsi="宋体" w:cs="宋体"/>
                <w:kern w:val="0"/>
                <w:sz w:val="21"/>
                <w:szCs w:val="21"/>
                <w:highlight w:val="none"/>
              </w:rPr>
            </w:pPr>
          </w:p>
        </w:tc>
        <w:tc>
          <w:tcPr>
            <w:tcW w:w="1177" w:type="dxa"/>
            <w:vAlign w:val="center"/>
          </w:tcPr>
          <w:p w14:paraId="4831D74C">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技术职称</w:t>
            </w:r>
          </w:p>
        </w:tc>
        <w:tc>
          <w:tcPr>
            <w:tcW w:w="1327" w:type="dxa"/>
            <w:gridSpan w:val="2"/>
            <w:vAlign w:val="center"/>
          </w:tcPr>
          <w:p w14:paraId="2681F399">
            <w:pPr>
              <w:spacing w:line="500" w:lineRule="exact"/>
              <w:rPr>
                <w:rFonts w:hint="eastAsia" w:ascii="宋体" w:hAnsi="宋体" w:cs="宋体"/>
                <w:kern w:val="0"/>
                <w:sz w:val="21"/>
                <w:szCs w:val="21"/>
                <w:highlight w:val="none"/>
              </w:rPr>
            </w:pPr>
          </w:p>
        </w:tc>
        <w:tc>
          <w:tcPr>
            <w:tcW w:w="1173" w:type="dxa"/>
            <w:gridSpan w:val="2"/>
            <w:vAlign w:val="center"/>
          </w:tcPr>
          <w:p w14:paraId="52DFD9A4">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1651" w:type="dxa"/>
            <w:vAlign w:val="center"/>
          </w:tcPr>
          <w:p w14:paraId="7A954E1D">
            <w:pPr>
              <w:spacing w:line="500" w:lineRule="exact"/>
              <w:rPr>
                <w:rFonts w:hint="eastAsia" w:ascii="宋体" w:hAnsi="宋体" w:cs="宋体"/>
                <w:b/>
                <w:bCs/>
                <w:kern w:val="0"/>
                <w:sz w:val="21"/>
                <w:szCs w:val="21"/>
                <w:highlight w:val="none"/>
              </w:rPr>
            </w:pPr>
          </w:p>
        </w:tc>
      </w:tr>
      <w:tr w14:paraId="2796880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0C5ADFA2">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成立时间</w:t>
            </w:r>
          </w:p>
        </w:tc>
        <w:tc>
          <w:tcPr>
            <w:tcW w:w="1980" w:type="dxa"/>
            <w:gridSpan w:val="3"/>
            <w:vAlign w:val="center"/>
          </w:tcPr>
          <w:p w14:paraId="5810FD04">
            <w:pPr>
              <w:spacing w:line="500" w:lineRule="exact"/>
              <w:rPr>
                <w:rFonts w:hint="eastAsia" w:ascii="宋体" w:hAnsi="宋体" w:cs="宋体"/>
                <w:kern w:val="0"/>
                <w:sz w:val="21"/>
                <w:szCs w:val="21"/>
                <w:highlight w:val="none"/>
              </w:rPr>
            </w:pPr>
          </w:p>
        </w:tc>
        <w:tc>
          <w:tcPr>
            <w:tcW w:w="5328" w:type="dxa"/>
            <w:gridSpan w:val="6"/>
            <w:vAlign w:val="center"/>
          </w:tcPr>
          <w:p w14:paraId="11778797">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员工总人数：</w:t>
            </w:r>
          </w:p>
        </w:tc>
      </w:tr>
      <w:tr w14:paraId="2BAB174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659F02BB">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企业资质等级</w:t>
            </w:r>
          </w:p>
        </w:tc>
        <w:tc>
          <w:tcPr>
            <w:tcW w:w="1980" w:type="dxa"/>
            <w:gridSpan w:val="3"/>
            <w:vAlign w:val="center"/>
          </w:tcPr>
          <w:p w14:paraId="0E641E25">
            <w:pPr>
              <w:spacing w:line="500" w:lineRule="exact"/>
              <w:rPr>
                <w:rFonts w:hint="eastAsia" w:ascii="宋体" w:hAnsi="宋体" w:cs="宋体"/>
                <w:kern w:val="0"/>
                <w:sz w:val="21"/>
                <w:szCs w:val="21"/>
                <w:highlight w:val="none"/>
              </w:rPr>
            </w:pPr>
          </w:p>
        </w:tc>
        <w:tc>
          <w:tcPr>
            <w:tcW w:w="1177" w:type="dxa"/>
            <w:vMerge w:val="restart"/>
            <w:vAlign w:val="center"/>
          </w:tcPr>
          <w:p w14:paraId="4DC0E89E">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其中</w:t>
            </w:r>
          </w:p>
        </w:tc>
        <w:tc>
          <w:tcPr>
            <w:tcW w:w="1883" w:type="dxa"/>
            <w:gridSpan w:val="3"/>
            <w:vAlign w:val="center"/>
          </w:tcPr>
          <w:p w14:paraId="46A2DA7B">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项目经理</w:t>
            </w:r>
          </w:p>
        </w:tc>
        <w:tc>
          <w:tcPr>
            <w:tcW w:w="2268" w:type="dxa"/>
            <w:gridSpan w:val="2"/>
            <w:vAlign w:val="center"/>
          </w:tcPr>
          <w:p w14:paraId="6C8C874A">
            <w:pPr>
              <w:spacing w:line="500" w:lineRule="exact"/>
              <w:rPr>
                <w:rFonts w:hint="eastAsia" w:ascii="宋体" w:hAnsi="宋体" w:cs="宋体"/>
                <w:b/>
                <w:bCs/>
                <w:kern w:val="0"/>
                <w:sz w:val="21"/>
                <w:szCs w:val="21"/>
                <w:highlight w:val="none"/>
              </w:rPr>
            </w:pPr>
          </w:p>
        </w:tc>
      </w:tr>
      <w:tr w14:paraId="3AD1AC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07A22635">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营业执照号</w:t>
            </w:r>
          </w:p>
        </w:tc>
        <w:tc>
          <w:tcPr>
            <w:tcW w:w="1980" w:type="dxa"/>
            <w:gridSpan w:val="3"/>
            <w:vAlign w:val="center"/>
          </w:tcPr>
          <w:p w14:paraId="401FBCFB">
            <w:pPr>
              <w:spacing w:line="500" w:lineRule="exact"/>
              <w:rPr>
                <w:rFonts w:hint="eastAsia" w:ascii="宋体" w:hAnsi="宋体" w:cs="宋体"/>
                <w:kern w:val="0"/>
                <w:sz w:val="21"/>
                <w:szCs w:val="21"/>
                <w:highlight w:val="none"/>
              </w:rPr>
            </w:pPr>
          </w:p>
        </w:tc>
        <w:tc>
          <w:tcPr>
            <w:tcW w:w="1177" w:type="dxa"/>
            <w:vMerge w:val="continue"/>
            <w:vAlign w:val="center"/>
          </w:tcPr>
          <w:p w14:paraId="51D78196">
            <w:pPr>
              <w:spacing w:line="500" w:lineRule="exact"/>
              <w:rPr>
                <w:rFonts w:hint="eastAsia" w:ascii="宋体" w:hAnsi="宋体" w:cs="宋体"/>
                <w:kern w:val="0"/>
                <w:sz w:val="21"/>
                <w:szCs w:val="21"/>
                <w:highlight w:val="none"/>
              </w:rPr>
            </w:pPr>
          </w:p>
        </w:tc>
        <w:tc>
          <w:tcPr>
            <w:tcW w:w="1883" w:type="dxa"/>
            <w:gridSpan w:val="3"/>
            <w:vAlign w:val="center"/>
          </w:tcPr>
          <w:p w14:paraId="0EB89507">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高级职称人员</w:t>
            </w:r>
          </w:p>
        </w:tc>
        <w:tc>
          <w:tcPr>
            <w:tcW w:w="2268" w:type="dxa"/>
            <w:gridSpan w:val="2"/>
            <w:vAlign w:val="center"/>
          </w:tcPr>
          <w:p w14:paraId="079AF2CD">
            <w:pPr>
              <w:spacing w:line="500" w:lineRule="exact"/>
              <w:rPr>
                <w:rFonts w:hint="eastAsia" w:ascii="宋体" w:hAnsi="宋体" w:cs="宋体"/>
                <w:b/>
                <w:bCs/>
                <w:kern w:val="0"/>
                <w:sz w:val="21"/>
                <w:szCs w:val="21"/>
                <w:highlight w:val="none"/>
              </w:rPr>
            </w:pPr>
          </w:p>
        </w:tc>
      </w:tr>
      <w:tr w14:paraId="67663E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3B1513BE">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注册资金</w:t>
            </w:r>
          </w:p>
        </w:tc>
        <w:tc>
          <w:tcPr>
            <w:tcW w:w="1980" w:type="dxa"/>
            <w:gridSpan w:val="3"/>
            <w:vAlign w:val="center"/>
          </w:tcPr>
          <w:p w14:paraId="48792627">
            <w:pPr>
              <w:spacing w:line="500" w:lineRule="exact"/>
              <w:rPr>
                <w:rFonts w:hint="eastAsia" w:ascii="宋体" w:hAnsi="宋体" w:cs="宋体"/>
                <w:kern w:val="0"/>
                <w:sz w:val="21"/>
                <w:szCs w:val="21"/>
                <w:highlight w:val="none"/>
              </w:rPr>
            </w:pPr>
          </w:p>
        </w:tc>
        <w:tc>
          <w:tcPr>
            <w:tcW w:w="1177" w:type="dxa"/>
            <w:vMerge w:val="continue"/>
            <w:vAlign w:val="center"/>
          </w:tcPr>
          <w:p w14:paraId="3D25BD34">
            <w:pPr>
              <w:spacing w:line="500" w:lineRule="exact"/>
              <w:rPr>
                <w:rFonts w:hint="eastAsia" w:ascii="宋体" w:hAnsi="宋体" w:cs="宋体"/>
                <w:kern w:val="0"/>
                <w:sz w:val="21"/>
                <w:szCs w:val="21"/>
                <w:highlight w:val="none"/>
              </w:rPr>
            </w:pPr>
          </w:p>
        </w:tc>
        <w:tc>
          <w:tcPr>
            <w:tcW w:w="1883" w:type="dxa"/>
            <w:gridSpan w:val="3"/>
            <w:vAlign w:val="center"/>
          </w:tcPr>
          <w:p w14:paraId="41C9D8D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中级职称人员</w:t>
            </w:r>
          </w:p>
        </w:tc>
        <w:tc>
          <w:tcPr>
            <w:tcW w:w="2268" w:type="dxa"/>
            <w:gridSpan w:val="2"/>
            <w:vAlign w:val="center"/>
          </w:tcPr>
          <w:p w14:paraId="70715B66">
            <w:pPr>
              <w:spacing w:line="500" w:lineRule="exact"/>
              <w:rPr>
                <w:rFonts w:hint="eastAsia" w:ascii="宋体" w:hAnsi="宋体" w:cs="宋体"/>
                <w:b/>
                <w:bCs/>
                <w:kern w:val="0"/>
                <w:sz w:val="21"/>
                <w:szCs w:val="21"/>
                <w:highlight w:val="none"/>
              </w:rPr>
            </w:pPr>
          </w:p>
        </w:tc>
      </w:tr>
      <w:tr w14:paraId="1E6B21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50E322F6">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开户银行</w:t>
            </w:r>
          </w:p>
        </w:tc>
        <w:tc>
          <w:tcPr>
            <w:tcW w:w="1980" w:type="dxa"/>
            <w:gridSpan w:val="3"/>
            <w:vAlign w:val="center"/>
          </w:tcPr>
          <w:p w14:paraId="56C676CB">
            <w:pPr>
              <w:spacing w:line="500" w:lineRule="exact"/>
              <w:rPr>
                <w:rFonts w:hint="eastAsia" w:ascii="宋体" w:hAnsi="宋体" w:cs="宋体"/>
                <w:kern w:val="0"/>
                <w:sz w:val="21"/>
                <w:szCs w:val="21"/>
                <w:highlight w:val="none"/>
              </w:rPr>
            </w:pPr>
          </w:p>
        </w:tc>
        <w:tc>
          <w:tcPr>
            <w:tcW w:w="1177" w:type="dxa"/>
            <w:vMerge w:val="continue"/>
            <w:vAlign w:val="center"/>
          </w:tcPr>
          <w:p w14:paraId="50F50444">
            <w:pPr>
              <w:spacing w:line="500" w:lineRule="exact"/>
              <w:rPr>
                <w:rFonts w:hint="eastAsia" w:ascii="宋体" w:hAnsi="宋体" w:cs="宋体"/>
                <w:kern w:val="0"/>
                <w:sz w:val="21"/>
                <w:szCs w:val="21"/>
                <w:highlight w:val="none"/>
              </w:rPr>
            </w:pPr>
          </w:p>
        </w:tc>
        <w:tc>
          <w:tcPr>
            <w:tcW w:w="1883" w:type="dxa"/>
            <w:gridSpan w:val="3"/>
            <w:vAlign w:val="center"/>
          </w:tcPr>
          <w:p w14:paraId="1BCA4B97">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初级职称人员</w:t>
            </w:r>
          </w:p>
        </w:tc>
        <w:tc>
          <w:tcPr>
            <w:tcW w:w="2268" w:type="dxa"/>
            <w:gridSpan w:val="2"/>
            <w:vAlign w:val="center"/>
          </w:tcPr>
          <w:p w14:paraId="01D0D066">
            <w:pPr>
              <w:spacing w:line="500" w:lineRule="exact"/>
              <w:rPr>
                <w:rFonts w:hint="eastAsia" w:ascii="宋体" w:hAnsi="宋体" w:cs="宋体"/>
                <w:b/>
                <w:bCs/>
                <w:kern w:val="0"/>
                <w:sz w:val="21"/>
                <w:szCs w:val="21"/>
                <w:highlight w:val="none"/>
              </w:rPr>
            </w:pPr>
          </w:p>
        </w:tc>
      </w:tr>
      <w:tr w14:paraId="6AD34B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4C045678">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账号</w:t>
            </w:r>
          </w:p>
        </w:tc>
        <w:tc>
          <w:tcPr>
            <w:tcW w:w="1980" w:type="dxa"/>
            <w:gridSpan w:val="3"/>
            <w:vAlign w:val="center"/>
          </w:tcPr>
          <w:p w14:paraId="10D36932">
            <w:pPr>
              <w:spacing w:line="500" w:lineRule="exact"/>
              <w:rPr>
                <w:rFonts w:hint="eastAsia" w:ascii="宋体" w:hAnsi="宋体" w:cs="宋体"/>
                <w:kern w:val="0"/>
                <w:sz w:val="21"/>
                <w:szCs w:val="21"/>
                <w:highlight w:val="none"/>
              </w:rPr>
            </w:pPr>
          </w:p>
        </w:tc>
        <w:tc>
          <w:tcPr>
            <w:tcW w:w="1177" w:type="dxa"/>
            <w:vMerge w:val="continue"/>
            <w:vAlign w:val="center"/>
          </w:tcPr>
          <w:p w14:paraId="0DC618E6">
            <w:pPr>
              <w:spacing w:line="500" w:lineRule="exact"/>
              <w:rPr>
                <w:rFonts w:hint="eastAsia" w:ascii="宋体" w:hAnsi="宋体" w:cs="宋体"/>
                <w:kern w:val="0"/>
                <w:sz w:val="21"/>
                <w:szCs w:val="21"/>
                <w:highlight w:val="none"/>
              </w:rPr>
            </w:pPr>
          </w:p>
        </w:tc>
        <w:tc>
          <w:tcPr>
            <w:tcW w:w="1883" w:type="dxa"/>
            <w:gridSpan w:val="3"/>
            <w:vAlign w:val="center"/>
          </w:tcPr>
          <w:p w14:paraId="05D3CD9F">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技工</w:t>
            </w:r>
          </w:p>
        </w:tc>
        <w:tc>
          <w:tcPr>
            <w:tcW w:w="2268" w:type="dxa"/>
            <w:gridSpan w:val="2"/>
            <w:vAlign w:val="center"/>
          </w:tcPr>
          <w:p w14:paraId="56A903A4">
            <w:pPr>
              <w:spacing w:line="500" w:lineRule="exact"/>
              <w:rPr>
                <w:rFonts w:hint="eastAsia" w:ascii="宋体" w:hAnsi="宋体" w:cs="宋体"/>
                <w:b/>
                <w:bCs/>
                <w:kern w:val="0"/>
                <w:sz w:val="21"/>
                <w:szCs w:val="21"/>
                <w:highlight w:val="none"/>
              </w:rPr>
            </w:pPr>
          </w:p>
        </w:tc>
      </w:tr>
      <w:tr w14:paraId="7F118A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14:paraId="0685D9F8">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经营范围</w:t>
            </w:r>
          </w:p>
        </w:tc>
        <w:tc>
          <w:tcPr>
            <w:tcW w:w="7308" w:type="dxa"/>
            <w:gridSpan w:val="9"/>
            <w:vAlign w:val="center"/>
          </w:tcPr>
          <w:p w14:paraId="04A160AB">
            <w:pPr>
              <w:spacing w:line="500" w:lineRule="exact"/>
              <w:rPr>
                <w:rFonts w:hint="eastAsia" w:ascii="宋体" w:hAnsi="宋体" w:cs="宋体"/>
                <w:b/>
                <w:bCs/>
                <w:kern w:val="0"/>
                <w:sz w:val="21"/>
                <w:szCs w:val="21"/>
                <w:highlight w:val="none"/>
              </w:rPr>
            </w:pPr>
          </w:p>
        </w:tc>
      </w:tr>
      <w:tr w14:paraId="19E77E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14:paraId="2DD52187">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备注</w:t>
            </w:r>
          </w:p>
        </w:tc>
        <w:tc>
          <w:tcPr>
            <w:tcW w:w="7308" w:type="dxa"/>
            <w:gridSpan w:val="9"/>
            <w:vAlign w:val="center"/>
          </w:tcPr>
          <w:p w14:paraId="7EDC1A61">
            <w:pPr>
              <w:spacing w:line="500" w:lineRule="exact"/>
              <w:rPr>
                <w:rFonts w:hint="eastAsia" w:ascii="宋体" w:hAnsi="宋体" w:cs="宋体"/>
                <w:kern w:val="0"/>
                <w:sz w:val="21"/>
                <w:szCs w:val="21"/>
                <w:highlight w:val="none"/>
              </w:rPr>
            </w:pPr>
          </w:p>
        </w:tc>
      </w:tr>
    </w:tbl>
    <w:p w14:paraId="77635718">
      <w:pPr>
        <w:spacing w:line="500" w:lineRule="exact"/>
        <w:rPr>
          <w:rFonts w:hint="eastAsia" w:asciiTheme="minorEastAsia" w:hAnsiTheme="minorEastAsia" w:eastAsiaTheme="minorEastAsia"/>
          <w:b/>
          <w:szCs w:val="28"/>
          <w:highlight w:val="none"/>
        </w:rPr>
      </w:pPr>
    </w:p>
    <w:p w14:paraId="47304E63">
      <w:pPr>
        <w:spacing w:line="500" w:lineRule="exact"/>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投标人名称：        （盖章）</w:t>
      </w:r>
    </w:p>
    <w:p w14:paraId="68BB7083">
      <w:pPr>
        <w:spacing w:line="500" w:lineRule="exact"/>
        <w:rPr>
          <w:rFonts w:hint="eastAsia" w:asciiTheme="minorEastAsia" w:hAnsiTheme="minorEastAsia" w:eastAsiaTheme="minorEastAsia"/>
          <w:bCs/>
          <w:sz w:val="28"/>
          <w:szCs w:val="28"/>
          <w:highlight w:val="none"/>
        </w:rPr>
      </w:pPr>
      <w:r>
        <w:rPr>
          <w:rFonts w:hint="eastAsia" w:asciiTheme="minorEastAsia" w:hAnsiTheme="minorEastAsia" w:eastAsiaTheme="minorEastAsia"/>
          <w:sz w:val="28"/>
          <w:szCs w:val="28"/>
          <w:highlight w:val="none"/>
        </w:rPr>
        <w:t>法定代表人或授权代表（签字）</w:t>
      </w:r>
      <w:r>
        <w:rPr>
          <w:rFonts w:hint="eastAsia" w:asciiTheme="minorEastAsia" w:hAnsiTheme="minorEastAsia" w:eastAsiaTheme="minorEastAsia"/>
          <w:bCs/>
          <w:sz w:val="28"/>
          <w:szCs w:val="28"/>
          <w:highlight w:val="none"/>
        </w:rPr>
        <w:t>：</w:t>
      </w:r>
    </w:p>
    <w:p w14:paraId="6D87486A">
      <w:pPr>
        <w:spacing w:line="500" w:lineRule="exact"/>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投标日期:</w:t>
      </w:r>
    </w:p>
    <w:p w14:paraId="2CD7F2AB">
      <w:pPr>
        <w:spacing w:line="500" w:lineRule="exact"/>
        <w:ind w:firstLine="616" w:firstLineChars="257"/>
        <w:rPr>
          <w:rFonts w:hint="eastAsia" w:asciiTheme="minorEastAsia" w:hAnsiTheme="minorEastAsia" w:eastAsiaTheme="minorEastAsia"/>
          <w:highlight w:val="none"/>
        </w:rPr>
      </w:pPr>
    </w:p>
    <w:p w14:paraId="00AF8AF8">
      <w:pPr>
        <w:rPr>
          <w:rFonts w:hint="eastAsia" w:asciiTheme="minorEastAsia" w:hAnsiTheme="minorEastAsia" w:eastAsiaTheme="minorEastAsia"/>
          <w:b/>
          <w:sz w:val="28"/>
          <w:szCs w:val="28"/>
          <w:highlight w:val="none"/>
        </w:rPr>
      </w:pPr>
    </w:p>
    <w:p w14:paraId="2C63FE67">
      <w:pPr>
        <w:autoSpaceDE w:val="0"/>
        <w:autoSpaceDN w:val="0"/>
        <w:adjustRightInd w:val="0"/>
        <w:snapToGrid w:val="0"/>
        <w:spacing w:line="360" w:lineRule="auto"/>
        <w:jc w:val="left"/>
        <w:outlineLvl w:val="1"/>
        <w:rPr>
          <w:rFonts w:hint="eastAsia" w:ascii="仿宋" w:hAnsi="仿宋" w:eastAsia="仿宋" w:cs="仿宋"/>
          <w:b/>
          <w:w w:val="99"/>
          <w:kern w:val="0"/>
          <w:sz w:val="28"/>
          <w:szCs w:val="28"/>
          <w:highlight w:val="none"/>
          <w:lang w:val="zh-CN"/>
        </w:rPr>
      </w:pPr>
      <w:r>
        <w:rPr>
          <w:rFonts w:hint="eastAsia" w:ascii="仿宋" w:hAnsi="仿宋" w:eastAsia="仿宋" w:cs="仿宋"/>
          <w:b/>
          <w:w w:val="99"/>
          <w:kern w:val="0"/>
          <w:sz w:val="28"/>
          <w:szCs w:val="28"/>
          <w:highlight w:val="none"/>
          <w:lang w:val="zh-CN"/>
        </w:rPr>
        <w:t>四、实质响应文件</w:t>
      </w:r>
      <w:r>
        <w:rPr>
          <w:rFonts w:hint="eastAsia" w:ascii="仿宋" w:hAnsi="仿宋" w:eastAsia="仿宋" w:cs="仿宋"/>
          <w:b/>
          <w:w w:val="99"/>
          <w:sz w:val="28"/>
          <w:szCs w:val="28"/>
          <w:lang w:val="zh-CN" w:eastAsia="zh-CN"/>
        </w:rPr>
        <w:t>（含服务内容、技术方案，细分报价等）</w:t>
      </w:r>
    </w:p>
    <w:p w14:paraId="1B2C5018">
      <w:pPr>
        <w:spacing w:line="500" w:lineRule="exact"/>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（根据招标要求由投标人自行编写）</w:t>
      </w:r>
    </w:p>
    <w:p w14:paraId="2314B5F1">
      <w:pPr>
        <w:spacing w:line="500" w:lineRule="exact"/>
        <w:rPr>
          <w:rFonts w:hint="eastAsia" w:asciiTheme="minorEastAsia" w:hAnsiTheme="minorEastAsia" w:eastAsiaTheme="minorEastAsia"/>
          <w:bCs/>
          <w:szCs w:val="28"/>
          <w:highlight w:val="none"/>
        </w:rPr>
      </w:pPr>
    </w:p>
    <w:p w14:paraId="6FC41563">
      <w:pPr>
        <w:spacing w:line="500" w:lineRule="exact"/>
        <w:rPr>
          <w:rFonts w:hint="eastAsia" w:asciiTheme="minorEastAsia" w:hAnsiTheme="minorEastAsia" w:eastAsiaTheme="minorEastAsia"/>
          <w:bCs/>
          <w:szCs w:val="28"/>
          <w:highlight w:val="none"/>
        </w:rPr>
      </w:pPr>
    </w:p>
    <w:p w14:paraId="5B731A62">
      <w:pPr>
        <w:spacing w:line="500" w:lineRule="exact"/>
        <w:rPr>
          <w:rFonts w:hint="eastAsia" w:asciiTheme="minorEastAsia" w:hAnsiTheme="minorEastAsia" w:eastAsiaTheme="minorEastAsia"/>
          <w:bCs/>
          <w:szCs w:val="28"/>
          <w:highlight w:val="none"/>
        </w:rPr>
      </w:pPr>
    </w:p>
    <w:p w14:paraId="565B02CF">
      <w:pPr>
        <w:spacing w:line="500" w:lineRule="exact"/>
        <w:rPr>
          <w:rFonts w:hint="eastAsia" w:asciiTheme="minorEastAsia" w:hAnsiTheme="minorEastAsia" w:eastAsiaTheme="minorEastAsia"/>
          <w:bCs/>
          <w:szCs w:val="28"/>
          <w:highlight w:val="none"/>
        </w:rPr>
      </w:pPr>
    </w:p>
    <w:p w14:paraId="4118E80C">
      <w:pPr>
        <w:spacing w:line="500" w:lineRule="exact"/>
        <w:rPr>
          <w:rFonts w:hint="eastAsia" w:asciiTheme="minorEastAsia" w:hAnsiTheme="minorEastAsia" w:eastAsiaTheme="minorEastAsia"/>
          <w:bCs/>
          <w:szCs w:val="28"/>
          <w:highlight w:val="none"/>
        </w:rPr>
      </w:pPr>
    </w:p>
    <w:p w14:paraId="06EFB9C6">
      <w:pPr>
        <w:spacing w:line="500" w:lineRule="exact"/>
        <w:rPr>
          <w:rFonts w:hint="eastAsia" w:asciiTheme="minorEastAsia" w:hAnsiTheme="minorEastAsia" w:eastAsiaTheme="minorEastAsia"/>
          <w:bCs/>
          <w:szCs w:val="28"/>
          <w:highlight w:val="none"/>
        </w:rPr>
      </w:pPr>
    </w:p>
    <w:p w14:paraId="6CC7C135">
      <w:pPr>
        <w:spacing w:line="500" w:lineRule="exact"/>
        <w:rPr>
          <w:rFonts w:hint="eastAsia" w:asciiTheme="minorEastAsia" w:hAnsiTheme="minorEastAsia" w:eastAsiaTheme="minorEastAsia"/>
          <w:bCs/>
          <w:szCs w:val="28"/>
          <w:highlight w:val="none"/>
        </w:rPr>
      </w:pPr>
    </w:p>
    <w:p w14:paraId="2613AA13">
      <w:pPr>
        <w:spacing w:line="500" w:lineRule="exact"/>
        <w:rPr>
          <w:rFonts w:hint="eastAsia" w:asciiTheme="minorEastAsia" w:hAnsiTheme="minorEastAsia" w:eastAsiaTheme="minorEastAsia"/>
          <w:bCs/>
          <w:szCs w:val="28"/>
          <w:highlight w:val="none"/>
        </w:rPr>
      </w:pPr>
    </w:p>
    <w:p w14:paraId="42669BDA">
      <w:pPr>
        <w:spacing w:line="500" w:lineRule="exact"/>
        <w:rPr>
          <w:rFonts w:hint="eastAsia" w:asciiTheme="minorEastAsia" w:hAnsiTheme="minorEastAsia" w:eastAsiaTheme="minorEastAsia"/>
          <w:bCs/>
          <w:szCs w:val="28"/>
          <w:highlight w:val="none"/>
        </w:rPr>
      </w:pPr>
    </w:p>
    <w:p w14:paraId="62053D06">
      <w:pPr>
        <w:spacing w:line="500" w:lineRule="exact"/>
        <w:rPr>
          <w:rFonts w:hint="eastAsia" w:asciiTheme="minorEastAsia" w:hAnsiTheme="minorEastAsia" w:eastAsiaTheme="minorEastAsia"/>
          <w:bCs/>
          <w:szCs w:val="28"/>
          <w:highlight w:val="none"/>
        </w:rPr>
      </w:pPr>
    </w:p>
    <w:p w14:paraId="2F14FCAA">
      <w:pPr>
        <w:spacing w:line="500" w:lineRule="exact"/>
        <w:rPr>
          <w:rFonts w:hint="eastAsia" w:asciiTheme="minorEastAsia" w:hAnsiTheme="minorEastAsia" w:eastAsiaTheme="minorEastAsia"/>
          <w:bCs/>
          <w:szCs w:val="28"/>
          <w:highlight w:val="none"/>
        </w:rPr>
      </w:pPr>
    </w:p>
    <w:p w14:paraId="472B4DF3">
      <w:pPr>
        <w:spacing w:line="500" w:lineRule="exact"/>
        <w:rPr>
          <w:rFonts w:hint="eastAsia" w:asciiTheme="minorEastAsia" w:hAnsiTheme="minorEastAsia" w:eastAsiaTheme="minorEastAsia"/>
          <w:bCs/>
          <w:szCs w:val="28"/>
          <w:highlight w:val="none"/>
        </w:rPr>
      </w:pPr>
    </w:p>
    <w:p w14:paraId="0870FEAD">
      <w:pPr>
        <w:spacing w:line="500" w:lineRule="exact"/>
        <w:rPr>
          <w:rFonts w:hint="eastAsia" w:asciiTheme="minorEastAsia" w:hAnsiTheme="minorEastAsia" w:eastAsiaTheme="minorEastAsia"/>
          <w:bCs/>
          <w:szCs w:val="28"/>
          <w:highlight w:val="none"/>
        </w:rPr>
      </w:pPr>
    </w:p>
    <w:p w14:paraId="004522EC">
      <w:pPr>
        <w:spacing w:line="500" w:lineRule="exact"/>
        <w:rPr>
          <w:rFonts w:hint="eastAsia" w:asciiTheme="minorEastAsia" w:hAnsiTheme="minorEastAsia" w:eastAsiaTheme="minorEastAsia"/>
          <w:bCs/>
          <w:szCs w:val="28"/>
          <w:highlight w:val="none"/>
        </w:rPr>
      </w:pPr>
    </w:p>
    <w:p w14:paraId="5678C6A0">
      <w:pPr>
        <w:spacing w:line="500" w:lineRule="exact"/>
        <w:rPr>
          <w:rFonts w:hint="eastAsia" w:asciiTheme="minorEastAsia" w:hAnsiTheme="minorEastAsia" w:eastAsiaTheme="minorEastAsia"/>
          <w:bCs/>
          <w:szCs w:val="28"/>
          <w:highlight w:val="none"/>
        </w:rPr>
      </w:pPr>
    </w:p>
    <w:p w14:paraId="5659A2FF">
      <w:pPr>
        <w:spacing w:line="500" w:lineRule="exact"/>
        <w:rPr>
          <w:rFonts w:hint="eastAsia" w:asciiTheme="minorEastAsia" w:hAnsiTheme="minorEastAsia" w:eastAsiaTheme="minorEastAsia"/>
          <w:bCs/>
          <w:szCs w:val="28"/>
          <w:highlight w:val="none"/>
        </w:rPr>
      </w:pPr>
    </w:p>
    <w:p w14:paraId="36919863">
      <w:pPr>
        <w:spacing w:line="500" w:lineRule="exact"/>
        <w:rPr>
          <w:rFonts w:hint="eastAsia" w:asciiTheme="minorEastAsia" w:hAnsiTheme="minorEastAsia" w:eastAsiaTheme="minorEastAsia"/>
          <w:bCs/>
          <w:szCs w:val="28"/>
          <w:highlight w:val="none"/>
        </w:rPr>
      </w:pPr>
    </w:p>
    <w:p w14:paraId="5661264E">
      <w:pPr>
        <w:spacing w:line="500" w:lineRule="exact"/>
        <w:rPr>
          <w:rFonts w:hint="eastAsia" w:asciiTheme="minorEastAsia" w:hAnsiTheme="minorEastAsia" w:eastAsiaTheme="minorEastAsia"/>
          <w:bCs/>
          <w:szCs w:val="28"/>
          <w:highlight w:val="none"/>
        </w:rPr>
      </w:pPr>
    </w:p>
    <w:p w14:paraId="3005B105">
      <w:pPr>
        <w:spacing w:line="500" w:lineRule="exact"/>
        <w:rPr>
          <w:rFonts w:hint="eastAsia" w:asciiTheme="minorEastAsia" w:hAnsiTheme="minorEastAsia" w:eastAsiaTheme="minorEastAsia"/>
          <w:bCs/>
          <w:szCs w:val="28"/>
          <w:highlight w:val="none"/>
        </w:rPr>
      </w:pPr>
    </w:p>
    <w:p w14:paraId="47CF486D">
      <w:pPr>
        <w:spacing w:line="500" w:lineRule="exact"/>
        <w:rPr>
          <w:rFonts w:hint="eastAsia" w:asciiTheme="minorEastAsia" w:hAnsiTheme="minorEastAsia" w:eastAsiaTheme="minorEastAsia"/>
          <w:bCs/>
          <w:szCs w:val="28"/>
          <w:highlight w:val="none"/>
        </w:rPr>
      </w:pPr>
    </w:p>
    <w:p w14:paraId="44B76F85">
      <w:pPr>
        <w:spacing w:line="500" w:lineRule="exact"/>
        <w:rPr>
          <w:rFonts w:hint="eastAsia" w:asciiTheme="minorEastAsia" w:hAnsiTheme="minorEastAsia" w:eastAsiaTheme="minorEastAsia"/>
          <w:bCs/>
          <w:szCs w:val="28"/>
          <w:highlight w:val="none"/>
        </w:rPr>
      </w:pPr>
    </w:p>
    <w:p w14:paraId="72A6FF17">
      <w:pPr>
        <w:spacing w:line="500" w:lineRule="exact"/>
        <w:rPr>
          <w:rFonts w:hint="eastAsia" w:asciiTheme="minorEastAsia" w:hAnsiTheme="minorEastAsia" w:eastAsiaTheme="minorEastAsia"/>
          <w:bCs/>
          <w:szCs w:val="28"/>
          <w:highlight w:val="none"/>
        </w:rPr>
      </w:pPr>
    </w:p>
    <w:p w14:paraId="6F1247D4">
      <w:pPr>
        <w:spacing w:line="500" w:lineRule="exact"/>
        <w:rPr>
          <w:rFonts w:hint="eastAsia" w:asciiTheme="minorEastAsia" w:hAnsiTheme="minorEastAsia" w:eastAsiaTheme="minorEastAsia"/>
          <w:bCs/>
          <w:szCs w:val="28"/>
          <w:highlight w:val="none"/>
        </w:rPr>
      </w:pPr>
    </w:p>
    <w:p w14:paraId="1F935C3E">
      <w:pPr>
        <w:rPr>
          <w:rFonts w:hint="eastAsia" w:ascii="仿宋" w:hAnsi="仿宋" w:eastAsia="仿宋" w:cs="仿宋"/>
          <w:b/>
          <w:sz w:val="28"/>
          <w:szCs w:val="28"/>
          <w:highlight w:val="none"/>
        </w:rPr>
      </w:pPr>
    </w:p>
    <w:p w14:paraId="1DCD232B">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0923653A">
      <w:pPr>
        <w:rPr>
          <w:rFonts w:hint="eastAsia" w:ascii="仿宋" w:hAnsi="仿宋" w:eastAsia="仿宋" w:cs="仿宋"/>
          <w:b/>
          <w:sz w:val="28"/>
          <w:szCs w:val="28"/>
          <w:highlight w:val="none"/>
        </w:rPr>
      </w:pPr>
      <w:r>
        <w:rPr>
          <w:rFonts w:hint="eastAsia" w:ascii="仿宋" w:hAnsi="仿宋" w:eastAsia="仿宋" w:cs="仿宋"/>
          <w:b/>
          <w:sz w:val="28"/>
          <w:szCs w:val="28"/>
          <w:highlight w:val="none"/>
        </w:rPr>
        <w:t>五、 售后服务</w:t>
      </w:r>
    </w:p>
    <w:p w14:paraId="69B5B5CD">
      <w:pPr>
        <w:rPr>
          <w:rFonts w:hint="eastAsia" w:asciiTheme="minorEastAsia" w:hAnsiTheme="minorEastAsia" w:eastAsiaTheme="minorEastAsia"/>
          <w:b/>
          <w:sz w:val="28"/>
          <w:szCs w:val="28"/>
          <w:highlight w:val="none"/>
        </w:rPr>
      </w:pPr>
    </w:p>
    <w:p w14:paraId="180951F4">
      <w:pPr>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（根据招标要求由投标人自行编写）                                   </w:t>
      </w:r>
    </w:p>
    <w:p w14:paraId="32EA6348">
      <w:pPr>
        <w:ind w:left="-154" w:leftChars="-64" w:firstLine="2"/>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编写售后服务方案</w:t>
      </w:r>
    </w:p>
    <w:p w14:paraId="1785EC8C">
      <w:pPr>
        <w:rPr>
          <w:rFonts w:hint="eastAsia" w:ascii="仿宋" w:hAnsi="仿宋" w:eastAsia="仿宋" w:cs="仿宋"/>
          <w:b/>
          <w:sz w:val="28"/>
          <w:szCs w:val="28"/>
          <w:highlight w:val="none"/>
        </w:rPr>
      </w:pPr>
    </w:p>
    <w:p w14:paraId="5CB25953">
      <w:pPr>
        <w:rPr>
          <w:rFonts w:hint="eastAsia" w:ascii="仿宋" w:hAnsi="仿宋" w:eastAsia="仿宋" w:cs="仿宋"/>
          <w:b/>
          <w:sz w:val="28"/>
          <w:szCs w:val="28"/>
          <w:highlight w:val="none"/>
        </w:rPr>
      </w:pPr>
    </w:p>
    <w:p w14:paraId="392EA572">
      <w:pPr>
        <w:rPr>
          <w:rFonts w:hint="eastAsia" w:ascii="仿宋" w:hAnsi="仿宋" w:eastAsia="仿宋" w:cs="仿宋"/>
          <w:b/>
          <w:sz w:val="28"/>
          <w:szCs w:val="28"/>
          <w:highlight w:val="none"/>
        </w:rPr>
      </w:pPr>
    </w:p>
    <w:p w14:paraId="59925DC4">
      <w:pPr>
        <w:rPr>
          <w:rFonts w:hint="eastAsia" w:ascii="仿宋" w:hAnsi="仿宋" w:eastAsia="仿宋" w:cs="仿宋"/>
          <w:b/>
          <w:sz w:val="28"/>
          <w:szCs w:val="28"/>
          <w:highlight w:val="none"/>
        </w:rPr>
      </w:pPr>
    </w:p>
    <w:p w14:paraId="33D8911D">
      <w:pPr>
        <w:rPr>
          <w:rFonts w:hint="eastAsia" w:ascii="仿宋" w:hAnsi="仿宋" w:eastAsia="仿宋" w:cs="仿宋"/>
          <w:b/>
          <w:sz w:val="28"/>
          <w:szCs w:val="28"/>
          <w:highlight w:val="none"/>
        </w:rPr>
      </w:pPr>
    </w:p>
    <w:p w14:paraId="0FAEFD17">
      <w:pPr>
        <w:rPr>
          <w:rFonts w:hint="eastAsia" w:ascii="仿宋" w:hAnsi="仿宋" w:eastAsia="仿宋" w:cs="仿宋"/>
          <w:b/>
          <w:sz w:val="28"/>
          <w:szCs w:val="28"/>
          <w:highlight w:val="none"/>
        </w:rPr>
      </w:pPr>
    </w:p>
    <w:p w14:paraId="0E6FAF36">
      <w:pPr>
        <w:rPr>
          <w:rFonts w:hint="eastAsia" w:ascii="仿宋" w:hAnsi="仿宋" w:eastAsia="仿宋" w:cs="仿宋"/>
          <w:b/>
          <w:sz w:val="28"/>
          <w:szCs w:val="28"/>
          <w:highlight w:val="none"/>
        </w:rPr>
      </w:pPr>
    </w:p>
    <w:p w14:paraId="3CAB739B">
      <w:pPr>
        <w:rPr>
          <w:rFonts w:hint="eastAsia" w:ascii="仿宋" w:hAnsi="仿宋" w:eastAsia="仿宋" w:cs="仿宋"/>
          <w:b/>
          <w:sz w:val="28"/>
          <w:szCs w:val="28"/>
          <w:highlight w:val="none"/>
        </w:rPr>
      </w:pPr>
    </w:p>
    <w:p w14:paraId="683FCA2E">
      <w:pPr>
        <w:rPr>
          <w:rFonts w:hint="eastAsia" w:ascii="仿宋" w:hAnsi="仿宋" w:eastAsia="仿宋" w:cs="仿宋"/>
          <w:b/>
          <w:sz w:val="28"/>
          <w:szCs w:val="28"/>
          <w:highlight w:val="none"/>
        </w:rPr>
      </w:pPr>
    </w:p>
    <w:p w14:paraId="1BC6CEA3">
      <w:pPr>
        <w:rPr>
          <w:rFonts w:hint="eastAsia" w:ascii="仿宋" w:hAnsi="仿宋" w:eastAsia="仿宋" w:cs="仿宋"/>
          <w:b/>
          <w:sz w:val="28"/>
          <w:szCs w:val="28"/>
          <w:highlight w:val="none"/>
        </w:rPr>
      </w:pPr>
    </w:p>
    <w:p w14:paraId="0E55B463">
      <w:pPr>
        <w:rPr>
          <w:rFonts w:hint="eastAsia" w:ascii="仿宋" w:hAnsi="仿宋" w:eastAsia="仿宋" w:cs="仿宋"/>
          <w:b/>
          <w:sz w:val="28"/>
          <w:szCs w:val="28"/>
          <w:highlight w:val="none"/>
        </w:rPr>
      </w:pPr>
    </w:p>
    <w:p w14:paraId="596DC08C">
      <w:pPr>
        <w:rPr>
          <w:rFonts w:hint="eastAsia" w:ascii="仿宋" w:hAnsi="仿宋" w:eastAsia="仿宋" w:cs="仿宋"/>
          <w:b/>
          <w:sz w:val="28"/>
          <w:szCs w:val="28"/>
          <w:highlight w:val="none"/>
        </w:rPr>
      </w:pPr>
    </w:p>
    <w:p w14:paraId="32464095">
      <w:pPr>
        <w:rPr>
          <w:rFonts w:hint="eastAsia" w:ascii="仿宋" w:hAnsi="仿宋" w:eastAsia="仿宋" w:cs="仿宋"/>
          <w:b/>
          <w:sz w:val="28"/>
          <w:szCs w:val="28"/>
          <w:highlight w:val="none"/>
        </w:rPr>
      </w:pPr>
    </w:p>
    <w:p w14:paraId="313625FB">
      <w:pPr>
        <w:rPr>
          <w:rFonts w:hint="eastAsia" w:ascii="仿宋" w:hAnsi="仿宋" w:eastAsia="仿宋" w:cs="仿宋"/>
          <w:b/>
          <w:sz w:val="28"/>
          <w:szCs w:val="28"/>
          <w:highlight w:val="none"/>
        </w:rPr>
      </w:pPr>
    </w:p>
    <w:p w14:paraId="66FC29BB">
      <w:pPr>
        <w:rPr>
          <w:rFonts w:hint="eastAsia" w:ascii="仿宋" w:hAnsi="仿宋" w:eastAsia="仿宋" w:cs="仿宋"/>
          <w:b/>
          <w:sz w:val="28"/>
          <w:szCs w:val="28"/>
          <w:highlight w:val="none"/>
        </w:rPr>
      </w:pPr>
    </w:p>
    <w:p w14:paraId="606711F2">
      <w:pPr>
        <w:rPr>
          <w:rFonts w:hint="eastAsia" w:ascii="仿宋" w:hAnsi="仿宋" w:eastAsia="仿宋" w:cs="仿宋"/>
          <w:b/>
          <w:sz w:val="28"/>
          <w:szCs w:val="28"/>
          <w:highlight w:val="none"/>
        </w:rPr>
      </w:pPr>
    </w:p>
    <w:p w14:paraId="2B4C6BC5">
      <w:pPr>
        <w:rPr>
          <w:rFonts w:hint="eastAsia" w:ascii="仿宋" w:hAnsi="仿宋" w:eastAsia="仿宋" w:cs="仿宋"/>
          <w:b/>
          <w:sz w:val="28"/>
          <w:szCs w:val="28"/>
          <w:highlight w:val="none"/>
        </w:rPr>
      </w:pPr>
    </w:p>
    <w:p w14:paraId="437A86F4">
      <w:pPr>
        <w:rPr>
          <w:rFonts w:hint="eastAsia" w:ascii="仿宋" w:hAnsi="仿宋" w:eastAsia="仿宋" w:cs="仿宋"/>
          <w:b/>
          <w:sz w:val="28"/>
          <w:szCs w:val="28"/>
          <w:highlight w:val="none"/>
        </w:rPr>
      </w:pPr>
    </w:p>
    <w:p w14:paraId="2EB9DA79">
      <w:pPr>
        <w:rPr>
          <w:rFonts w:hint="eastAsia" w:ascii="仿宋" w:hAnsi="仿宋" w:eastAsia="仿宋" w:cs="仿宋"/>
          <w:b/>
          <w:sz w:val="28"/>
          <w:szCs w:val="28"/>
          <w:highlight w:val="none"/>
        </w:rPr>
      </w:pPr>
    </w:p>
    <w:p w14:paraId="25948AD3">
      <w:pPr>
        <w:rPr>
          <w:rFonts w:hint="eastAsia" w:ascii="仿宋" w:hAnsi="仿宋" w:eastAsia="仿宋" w:cs="仿宋"/>
          <w:b/>
          <w:sz w:val="28"/>
          <w:szCs w:val="28"/>
          <w:highlight w:val="none"/>
        </w:rPr>
      </w:pPr>
    </w:p>
    <w:p w14:paraId="5570317A">
      <w:pPr>
        <w:rPr>
          <w:rFonts w:hint="eastAsia" w:ascii="仿宋" w:hAnsi="仿宋" w:eastAsia="仿宋" w:cs="仿宋"/>
          <w:b/>
          <w:sz w:val="28"/>
          <w:szCs w:val="28"/>
          <w:highlight w:val="none"/>
        </w:rPr>
      </w:pPr>
    </w:p>
    <w:p w14:paraId="0B009509">
      <w:pPr>
        <w:rPr>
          <w:rFonts w:hint="eastAsia" w:ascii="仿宋" w:hAnsi="仿宋" w:eastAsia="仿宋" w:cs="仿宋"/>
          <w:b/>
          <w:sz w:val="28"/>
          <w:szCs w:val="28"/>
          <w:highlight w:val="none"/>
        </w:rPr>
      </w:pPr>
    </w:p>
    <w:p w14:paraId="1AA05921">
      <w:pPr>
        <w:rPr>
          <w:rFonts w:hint="eastAsia" w:ascii="仿宋" w:hAnsi="仿宋" w:eastAsia="仿宋" w:cs="仿宋"/>
          <w:b/>
          <w:sz w:val="28"/>
          <w:szCs w:val="28"/>
          <w:highlight w:val="none"/>
        </w:rPr>
      </w:pPr>
    </w:p>
    <w:p w14:paraId="1273B447">
      <w:pPr>
        <w:rPr>
          <w:rFonts w:hint="eastAsia" w:ascii="仿宋" w:hAnsi="仿宋" w:eastAsia="仿宋" w:cs="仿宋"/>
          <w:b/>
          <w:sz w:val="28"/>
          <w:szCs w:val="28"/>
          <w:highlight w:val="none"/>
        </w:rPr>
      </w:pPr>
    </w:p>
    <w:p w14:paraId="7251058C">
      <w:pPr>
        <w:rPr>
          <w:rFonts w:hint="eastAsia" w:ascii="仿宋" w:hAnsi="仿宋" w:eastAsia="仿宋" w:cs="仿宋"/>
          <w:b/>
          <w:sz w:val="28"/>
          <w:szCs w:val="28"/>
          <w:highlight w:val="none"/>
        </w:rPr>
      </w:pPr>
    </w:p>
    <w:p w14:paraId="018BE37A">
      <w:pPr>
        <w:rPr>
          <w:rFonts w:hint="eastAsia" w:ascii="仿宋" w:hAnsi="仿宋" w:eastAsia="仿宋" w:cs="仿宋"/>
          <w:b/>
          <w:sz w:val="28"/>
          <w:szCs w:val="28"/>
          <w:highlight w:val="none"/>
        </w:rPr>
      </w:pPr>
    </w:p>
    <w:p w14:paraId="5B786B1F">
      <w:pPr>
        <w:rPr>
          <w:rFonts w:hint="eastAsia" w:ascii="仿宋" w:hAnsi="仿宋" w:eastAsia="仿宋" w:cs="仿宋"/>
          <w:b/>
          <w:sz w:val="28"/>
          <w:szCs w:val="28"/>
          <w:highlight w:val="none"/>
        </w:rPr>
      </w:pPr>
    </w:p>
    <w:p w14:paraId="0A208E5A">
      <w:pPr>
        <w:rPr>
          <w:rFonts w:hint="eastAsia" w:ascii="仿宋" w:hAnsi="仿宋" w:eastAsia="仿宋" w:cs="仿宋"/>
          <w:b/>
          <w:sz w:val="28"/>
          <w:szCs w:val="28"/>
          <w:highlight w:val="none"/>
        </w:rPr>
      </w:pPr>
    </w:p>
    <w:p w14:paraId="70DCAD76">
      <w:pPr>
        <w:rPr>
          <w:rFonts w:hint="eastAsia" w:ascii="仿宋" w:hAnsi="仿宋" w:eastAsia="仿宋" w:cs="仿宋"/>
          <w:b/>
          <w:sz w:val="28"/>
          <w:szCs w:val="28"/>
          <w:highlight w:val="none"/>
        </w:rPr>
      </w:pPr>
    </w:p>
    <w:p w14:paraId="26F58EA8">
      <w:pPr>
        <w:rPr>
          <w:rFonts w:hint="eastAsia" w:ascii="仿宋" w:hAnsi="仿宋" w:eastAsia="仿宋" w:cs="仿宋"/>
          <w:b/>
          <w:sz w:val="28"/>
          <w:szCs w:val="28"/>
          <w:highlight w:val="none"/>
        </w:rPr>
      </w:pPr>
    </w:p>
    <w:p w14:paraId="73D34992">
      <w:pPr>
        <w:rPr>
          <w:rFonts w:hint="eastAsia" w:ascii="仿宋" w:hAnsi="仿宋" w:eastAsia="仿宋" w:cs="仿宋"/>
          <w:b/>
          <w:sz w:val="28"/>
          <w:szCs w:val="28"/>
          <w:highlight w:val="none"/>
        </w:rPr>
      </w:pPr>
    </w:p>
    <w:p w14:paraId="20F1D7F1">
      <w:pPr>
        <w:rPr>
          <w:rFonts w:hint="eastAsia" w:ascii="仿宋" w:hAnsi="仿宋" w:eastAsia="仿宋" w:cs="仿宋"/>
          <w:b/>
          <w:sz w:val="28"/>
          <w:szCs w:val="28"/>
          <w:highlight w:val="none"/>
        </w:rPr>
      </w:pPr>
    </w:p>
    <w:p w14:paraId="660D3E50">
      <w:pPr>
        <w:rPr>
          <w:rFonts w:hint="eastAsia" w:ascii="仿宋" w:hAnsi="仿宋" w:eastAsia="仿宋" w:cs="仿宋"/>
          <w:b/>
          <w:sz w:val="28"/>
          <w:szCs w:val="28"/>
          <w:highlight w:val="none"/>
        </w:rPr>
      </w:pPr>
    </w:p>
    <w:p w14:paraId="57C47E4C">
      <w:pPr>
        <w:rPr>
          <w:rFonts w:hint="eastAsia" w:ascii="仿宋" w:hAnsi="仿宋" w:eastAsia="仿宋" w:cs="仿宋"/>
          <w:b/>
          <w:sz w:val="28"/>
          <w:szCs w:val="28"/>
          <w:highlight w:val="none"/>
        </w:rPr>
      </w:pPr>
    </w:p>
    <w:p w14:paraId="0DC6E600">
      <w:pPr>
        <w:pStyle w:val="41"/>
        <w:ind w:firstLine="281"/>
        <w:rPr>
          <w:rFonts w:hint="eastAsia" w:ascii="仿宋" w:hAnsi="仿宋" w:eastAsia="仿宋" w:cs="仿宋"/>
          <w:b/>
          <w:sz w:val="28"/>
          <w:szCs w:val="28"/>
          <w:highlight w:val="none"/>
        </w:rPr>
      </w:pPr>
    </w:p>
    <w:p w14:paraId="6F24F84A">
      <w:pPr>
        <w:pStyle w:val="41"/>
        <w:ind w:firstLine="240"/>
        <w:rPr>
          <w:highlight w:val="none"/>
        </w:rPr>
      </w:pPr>
    </w:p>
    <w:p w14:paraId="008D320E">
      <w:pPr>
        <w:numPr>
          <w:ilvl w:val="0"/>
          <w:numId w:val="10"/>
        </w:numPr>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相关资质证明及承诺    </w:t>
      </w:r>
    </w:p>
    <w:p w14:paraId="121FB8C7">
      <w:pPr>
        <w:numPr>
          <w:ilvl w:val="0"/>
          <w:numId w:val="0"/>
        </w:numPr>
        <w:rPr>
          <w:rFonts w:hint="default" w:ascii="仿宋" w:hAnsi="仿宋" w:eastAsia="仿宋" w:cs="仿宋"/>
          <w:b/>
          <w:sz w:val="28"/>
          <w:szCs w:val="28"/>
          <w:highlight w:val="none"/>
          <w:lang w:val="en-US" w:eastAsia="zh-CN"/>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
          <w:sz w:val="28"/>
          <w:szCs w:val="28"/>
          <w:highlight w:val="none"/>
          <w:lang w:val="en-US" w:eastAsia="zh-CN"/>
        </w:rPr>
        <w:t>营业执照、</w:t>
      </w:r>
      <w:r>
        <w:rPr>
          <w:rFonts w:hint="eastAsia" w:ascii="仿宋" w:hAnsi="仿宋" w:eastAsia="仿宋" w:cs="仿宋"/>
          <w:b/>
          <w:sz w:val="28"/>
          <w:szCs w:val="28"/>
          <w:highlight w:val="none"/>
        </w:rPr>
        <w:t xml:space="preserve"> </w:t>
      </w:r>
      <w:r>
        <w:rPr>
          <w:rFonts w:hint="eastAsia" w:ascii="仿宋" w:hAnsi="仿宋" w:eastAsia="仿宋" w:cs="仿宋"/>
          <w:b/>
          <w:sz w:val="28"/>
          <w:szCs w:val="28"/>
          <w:highlight w:val="none"/>
          <w:lang w:val="en-US" w:eastAsia="zh-CN"/>
        </w:rPr>
        <w:t>员工持证、荣誉等</w:t>
      </w:r>
    </w:p>
    <w:p w14:paraId="6FDD82C6">
      <w:pPr>
        <w:rPr>
          <w:rFonts w:hint="eastAsia" w:ascii="仿宋" w:hAnsi="仿宋" w:eastAsia="仿宋" w:cs="仿宋"/>
          <w:b/>
          <w:sz w:val="28"/>
          <w:szCs w:val="28"/>
          <w:highlight w:val="none"/>
        </w:rPr>
      </w:pPr>
      <w:r>
        <w:rPr>
          <w:rFonts w:hint="eastAsia" w:ascii="仿宋" w:hAnsi="仿宋" w:eastAsia="仿宋" w:cs="仿宋"/>
          <w:b/>
          <w:sz w:val="28"/>
          <w:szCs w:val="28"/>
          <w:highlight w:val="none"/>
        </w:rPr>
        <w:t>七、投标业绩一览表</w:t>
      </w:r>
    </w:p>
    <w:tbl>
      <w:tblPr>
        <w:tblStyle w:val="42"/>
        <w:tblW w:w="81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94"/>
        <w:gridCol w:w="1239"/>
        <w:gridCol w:w="1260"/>
        <w:gridCol w:w="1620"/>
        <w:gridCol w:w="1620"/>
        <w:gridCol w:w="1341"/>
      </w:tblGrid>
      <w:tr w14:paraId="1ADD8B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top w:val="single" w:color="auto" w:sz="4" w:space="0"/>
            </w:tcBorders>
            <w:vAlign w:val="center"/>
          </w:tcPr>
          <w:p w14:paraId="7BD1C55C">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年份</w:t>
            </w:r>
          </w:p>
        </w:tc>
        <w:tc>
          <w:tcPr>
            <w:tcW w:w="1239" w:type="dxa"/>
            <w:vAlign w:val="center"/>
          </w:tcPr>
          <w:p w14:paraId="37AA82E5">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用户名称</w:t>
            </w:r>
          </w:p>
        </w:tc>
        <w:tc>
          <w:tcPr>
            <w:tcW w:w="1260" w:type="dxa"/>
            <w:vAlign w:val="center"/>
          </w:tcPr>
          <w:p w14:paraId="4BC913F6">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项目名称</w:t>
            </w:r>
          </w:p>
        </w:tc>
        <w:tc>
          <w:tcPr>
            <w:tcW w:w="1620" w:type="dxa"/>
            <w:vAlign w:val="center"/>
          </w:tcPr>
          <w:p w14:paraId="2F5ABD93">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完成时间或在建</w:t>
            </w:r>
          </w:p>
        </w:tc>
        <w:tc>
          <w:tcPr>
            <w:tcW w:w="1620" w:type="dxa"/>
            <w:tcBorders>
              <w:right w:val="single" w:color="auto" w:sz="4" w:space="0"/>
            </w:tcBorders>
            <w:vAlign w:val="center"/>
          </w:tcPr>
          <w:p w14:paraId="1D33B499">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完成项目质量</w:t>
            </w:r>
          </w:p>
        </w:tc>
        <w:tc>
          <w:tcPr>
            <w:tcW w:w="1341" w:type="dxa"/>
            <w:tcBorders>
              <w:left w:val="single" w:color="auto" w:sz="4" w:space="0"/>
            </w:tcBorders>
            <w:vAlign w:val="center"/>
          </w:tcPr>
          <w:p w14:paraId="38ABCF1B">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备注</w:t>
            </w:r>
          </w:p>
        </w:tc>
      </w:tr>
      <w:tr w14:paraId="614A3C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230AED67">
            <w:pPr>
              <w:spacing w:line="500" w:lineRule="exact"/>
              <w:jc w:val="center"/>
              <w:rPr>
                <w:rFonts w:hint="eastAsia" w:ascii="宋体" w:hAnsi="宋体" w:cs="宋体"/>
                <w:sz w:val="21"/>
                <w:szCs w:val="21"/>
                <w:highlight w:val="none"/>
              </w:rPr>
            </w:pPr>
          </w:p>
        </w:tc>
        <w:tc>
          <w:tcPr>
            <w:tcW w:w="1239" w:type="dxa"/>
            <w:vAlign w:val="center"/>
          </w:tcPr>
          <w:p w14:paraId="536DC2DA">
            <w:pPr>
              <w:spacing w:line="500" w:lineRule="exact"/>
              <w:jc w:val="center"/>
              <w:rPr>
                <w:rFonts w:hint="eastAsia" w:ascii="宋体" w:hAnsi="宋体" w:cs="宋体"/>
                <w:sz w:val="21"/>
                <w:szCs w:val="21"/>
                <w:highlight w:val="none"/>
              </w:rPr>
            </w:pPr>
          </w:p>
        </w:tc>
        <w:tc>
          <w:tcPr>
            <w:tcW w:w="1260" w:type="dxa"/>
            <w:vAlign w:val="center"/>
          </w:tcPr>
          <w:p w14:paraId="3DA89DF8">
            <w:pPr>
              <w:spacing w:line="500" w:lineRule="exact"/>
              <w:jc w:val="center"/>
              <w:rPr>
                <w:rFonts w:hint="eastAsia" w:ascii="宋体" w:hAnsi="宋体" w:cs="宋体"/>
                <w:sz w:val="21"/>
                <w:szCs w:val="21"/>
                <w:highlight w:val="none"/>
              </w:rPr>
            </w:pPr>
          </w:p>
        </w:tc>
        <w:tc>
          <w:tcPr>
            <w:tcW w:w="1620" w:type="dxa"/>
            <w:vAlign w:val="center"/>
          </w:tcPr>
          <w:p w14:paraId="0FC7E3D5">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7F58C727">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52A5EA22">
            <w:pPr>
              <w:spacing w:line="500" w:lineRule="exact"/>
              <w:jc w:val="center"/>
              <w:rPr>
                <w:rFonts w:hint="eastAsia" w:ascii="宋体" w:hAnsi="宋体" w:cs="宋体"/>
                <w:sz w:val="21"/>
                <w:szCs w:val="21"/>
                <w:highlight w:val="none"/>
              </w:rPr>
            </w:pPr>
          </w:p>
        </w:tc>
      </w:tr>
      <w:tr w14:paraId="7387FA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2ADEF07">
            <w:pPr>
              <w:spacing w:line="500" w:lineRule="exact"/>
              <w:jc w:val="center"/>
              <w:rPr>
                <w:rFonts w:hint="eastAsia" w:ascii="宋体" w:hAnsi="宋体" w:cs="宋体"/>
                <w:sz w:val="21"/>
                <w:szCs w:val="21"/>
                <w:highlight w:val="none"/>
              </w:rPr>
            </w:pPr>
          </w:p>
        </w:tc>
        <w:tc>
          <w:tcPr>
            <w:tcW w:w="1239" w:type="dxa"/>
            <w:vAlign w:val="center"/>
          </w:tcPr>
          <w:p w14:paraId="149DFF07">
            <w:pPr>
              <w:spacing w:line="500" w:lineRule="exact"/>
              <w:jc w:val="center"/>
              <w:rPr>
                <w:rFonts w:hint="eastAsia" w:ascii="宋体" w:hAnsi="宋体" w:cs="宋体"/>
                <w:sz w:val="21"/>
                <w:szCs w:val="21"/>
                <w:highlight w:val="none"/>
              </w:rPr>
            </w:pPr>
          </w:p>
        </w:tc>
        <w:tc>
          <w:tcPr>
            <w:tcW w:w="1260" w:type="dxa"/>
            <w:vAlign w:val="center"/>
          </w:tcPr>
          <w:p w14:paraId="0E1DC27A">
            <w:pPr>
              <w:spacing w:line="500" w:lineRule="exact"/>
              <w:jc w:val="center"/>
              <w:rPr>
                <w:rFonts w:hint="eastAsia" w:ascii="宋体" w:hAnsi="宋体" w:cs="宋体"/>
                <w:sz w:val="21"/>
                <w:szCs w:val="21"/>
                <w:highlight w:val="none"/>
              </w:rPr>
            </w:pPr>
          </w:p>
        </w:tc>
        <w:tc>
          <w:tcPr>
            <w:tcW w:w="1620" w:type="dxa"/>
            <w:vAlign w:val="center"/>
          </w:tcPr>
          <w:p w14:paraId="67EB4DD0">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5CAB7099">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5997F398">
            <w:pPr>
              <w:spacing w:line="500" w:lineRule="exact"/>
              <w:jc w:val="center"/>
              <w:rPr>
                <w:rFonts w:hint="eastAsia" w:ascii="宋体" w:hAnsi="宋体" w:cs="宋体"/>
                <w:sz w:val="21"/>
                <w:szCs w:val="21"/>
                <w:highlight w:val="none"/>
              </w:rPr>
            </w:pPr>
          </w:p>
        </w:tc>
      </w:tr>
      <w:tr w14:paraId="34DBE3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12AD9D2">
            <w:pPr>
              <w:spacing w:line="500" w:lineRule="exact"/>
              <w:jc w:val="center"/>
              <w:rPr>
                <w:rFonts w:hint="eastAsia" w:ascii="宋体" w:hAnsi="宋体" w:cs="宋体"/>
                <w:sz w:val="21"/>
                <w:szCs w:val="21"/>
                <w:highlight w:val="none"/>
              </w:rPr>
            </w:pPr>
          </w:p>
        </w:tc>
        <w:tc>
          <w:tcPr>
            <w:tcW w:w="1239" w:type="dxa"/>
            <w:vAlign w:val="center"/>
          </w:tcPr>
          <w:p w14:paraId="1089CA15">
            <w:pPr>
              <w:spacing w:line="500" w:lineRule="exact"/>
              <w:jc w:val="center"/>
              <w:rPr>
                <w:rFonts w:hint="eastAsia" w:ascii="宋体" w:hAnsi="宋体" w:cs="宋体"/>
                <w:sz w:val="21"/>
                <w:szCs w:val="21"/>
                <w:highlight w:val="none"/>
              </w:rPr>
            </w:pPr>
          </w:p>
        </w:tc>
        <w:tc>
          <w:tcPr>
            <w:tcW w:w="1260" w:type="dxa"/>
            <w:vAlign w:val="center"/>
          </w:tcPr>
          <w:p w14:paraId="3B0F0CDD">
            <w:pPr>
              <w:spacing w:line="500" w:lineRule="exact"/>
              <w:jc w:val="center"/>
              <w:rPr>
                <w:rFonts w:hint="eastAsia" w:ascii="宋体" w:hAnsi="宋体" w:cs="宋体"/>
                <w:sz w:val="21"/>
                <w:szCs w:val="21"/>
                <w:highlight w:val="none"/>
              </w:rPr>
            </w:pPr>
          </w:p>
        </w:tc>
        <w:tc>
          <w:tcPr>
            <w:tcW w:w="1620" w:type="dxa"/>
            <w:vAlign w:val="center"/>
          </w:tcPr>
          <w:p w14:paraId="1C8795F1">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398CDA2E">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1DD0B4E2">
            <w:pPr>
              <w:spacing w:line="500" w:lineRule="exact"/>
              <w:jc w:val="center"/>
              <w:rPr>
                <w:rFonts w:hint="eastAsia" w:ascii="宋体" w:hAnsi="宋体" w:cs="宋体"/>
                <w:sz w:val="21"/>
                <w:szCs w:val="21"/>
                <w:highlight w:val="none"/>
              </w:rPr>
            </w:pPr>
          </w:p>
        </w:tc>
      </w:tr>
      <w:tr w14:paraId="47B4E6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45776F28">
            <w:pPr>
              <w:spacing w:line="500" w:lineRule="exact"/>
              <w:jc w:val="center"/>
              <w:rPr>
                <w:rFonts w:hint="eastAsia" w:ascii="宋体" w:hAnsi="宋体" w:cs="宋体"/>
                <w:sz w:val="21"/>
                <w:szCs w:val="21"/>
                <w:highlight w:val="none"/>
              </w:rPr>
            </w:pPr>
          </w:p>
        </w:tc>
        <w:tc>
          <w:tcPr>
            <w:tcW w:w="1239" w:type="dxa"/>
            <w:tcBorders>
              <w:right w:val="single" w:color="auto" w:sz="4" w:space="0"/>
            </w:tcBorders>
            <w:vAlign w:val="center"/>
          </w:tcPr>
          <w:p w14:paraId="2415D6F6">
            <w:pPr>
              <w:spacing w:line="500" w:lineRule="exact"/>
              <w:jc w:val="center"/>
              <w:rPr>
                <w:rFonts w:hint="eastAsia" w:ascii="宋体" w:hAnsi="宋体" w:cs="宋体"/>
                <w:sz w:val="21"/>
                <w:szCs w:val="21"/>
                <w:highlight w:val="none"/>
              </w:rPr>
            </w:pPr>
          </w:p>
        </w:tc>
        <w:tc>
          <w:tcPr>
            <w:tcW w:w="1260" w:type="dxa"/>
            <w:tcBorders>
              <w:left w:val="single" w:color="auto" w:sz="4" w:space="0"/>
            </w:tcBorders>
            <w:vAlign w:val="center"/>
          </w:tcPr>
          <w:p w14:paraId="42D66B5D">
            <w:pPr>
              <w:spacing w:line="500" w:lineRule="exact"/>
              <w:jc w:val="center"/>
              <w:rPr>
                <w:rFonts w:hint="eastAsia" w:ascii="宋体" w:hAnsi="宋体" w:cs="宋体"/>
                <w:sz w:val="21"/>
                <w:szCs w:val="21"/>
                <w:highlight w:val="none"/>
              </w:rPr>
            </w:pPr>
          </w:p>
        </w:tc>
        <w:tc>
          <w:tcPr>
            <w:tcW w:w="1620" w:type="dxa"/>
            <w:vAlign w:val="center"/>
          </w:tcPr>
          <w:p w14:paraId="09969610">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713D2883">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6758A872">
            <w:pPr>
              <w:spacing w:line="500" w:lineRule="exact"/>
              <w:jc w:val="center"/>
              <w:rPr>
                <w:rFonts w:hint="eastAsia" w:ascii="宋体" w:hAnsi="宋体" w:cs="宋体"/>
                <w:sz w:val="21"/>
                <w:szCs w:val="21"/>
                <w:highlight w:val="none"/>
              </w:rPr>
            </w:pPr>
          </w:p>
        </w:tc>
      </w:tr>
      <w:tr w14:paraId="46E1F6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right w:val="single" w:color="auto" w:sz="4" w:space="0"/>
            </w:tcBorders>
            <w:vAlign w:val="center"/>
          </w:tcPr>
          <w:p w14:paraId="3CC8814D">
            <w:pPr>
              <w:spacing w:line="500" w:lineRule="exact"/>
              <w:jc w:val="center"/>
              <w:rPr>
                <w:rFonts w:hint="eastAsia" w:ascii="宋体" w:hAnsi="宋体" w:cs="宋体"/>
                <w:sz w:val="21"/>
                <w:szCs w:val="21"/>
                <w:highlight w:val="none"/>
              </w:rPr>
            </w:pPr>
          </w:p>
        </w:tc>
        <w:tc>
          <w:tcPr>
            <w:tcW w:w="1239" w:type="dxa"/>
            <w:tcBorders>
              <w:left w:val="single" w:color="auto" w:sz="4" w:space="0"/>
              <w:right w:val="single" w:color="auto" w:sz="4" w:space="0"/>
            </w:tcBorders>
            <w:vAlign w:val="center"/>
          </w:tcPr>
          <w:p w14:paraId="65227519">
            <w:pPr>
              <w:spacing w:line="500" w:lineRule="exact"/>
              <w:jc w:val="center"/>
              <w:rPr>
                <w:rFonts w:hint="eastAsia" w:ascii="宋体" w:hAnsi="宋体" w:cs="宋体"/>
                <w:sz w:val="21"/>
                <w:szCs w:val="21"/>
                <w:highlight w:val="none"/>
              </w:rPr>
            </w:pPr>
          </w:p>
        </w:tc>
        <w:tc>
          <w:tcPr>
            <w:tcW w:w="1260" w:type="dxa"/>
            <w:tcBorders>
              <w:left w:val="single" w:color="auto" w:sz="4" w:space="0"/>
              <w:right w:val="single" w:color="auto" w:sz="4" w:space="0"/>
            </w:tcBorders>
            <w:vAlign w:val="center"/>
          </w:tcPr>
          <w:p w14:paraId="033029D5">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4CCE21B6">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00B31198">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58E628CC">
            <w:pPr>
              <w:spacing w:line="500" w:lineRule="exact"/>
              <w:jc w:val="center"/>
              <w:rPr>
                <w:rFonts w:hint="eastAsia" w:ascii="宋体" w:hAnsi="宋体" w:cs="宋体"/>
                <w:sz w:val="21"/>
                <w:szCs w:val="21"/>
                <w:highlight w:val="none"/>
              </w:rPr>
            </w:pPr>
          </w:p>
        </w:tc>
      </w:tr>
      <w:tr w14:paraId="7397A3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2F235CC8">
            <w:pPr>
              <w:spacing w:line="500" w:lineRule="exact"/>
              <w:jc w:val="center"/>
              <w:rPr>
                <w:rFonts w:hint="eastAsia" w:ascii="宋体" w:hAnsi="宋体" w:cs="宋体"/>
                <w:sz w:val="21"/>
                <w:szCs w:val="21"/>
                <w:highlight w:val="none"/>
              </w:rPr>
            </w:pPr>
          </w:p>
        </w:tc>
        <w:tc>
          <w:tcPr>
            <w:tcW w:w="1239" w:type="dxa"/>
            <w:vAlign w:val="center"/>
          </w:tcPr>
          <w:p w14:paraId="6C6EC061">
            <w:pPr>
              <w:spacing w:line="500" w:lineRule="exact"/>
              <w:jc w:val="center"/>
              <w:rPr>
                <w:rFonts w:hint="eastAsia" w:ascii="宋体" w:hAnsi="宋体" w:cs="宋体"/>
                <w:sz w:val="21"/>
                <w:szCs w:val="21"/>
                <w:highlight w:val="none"/>
              </w:rPr>
            </w:pPr>
          </w:p>
        </w:tc>
        <w:tc>
          <w:tcPr>
            <w:tcW w:w="1260" w:type="dxa"/>
            <w:vAlign w:val="center"/>
          </w:tcPr>
          <w:p w14:paraId="22B07BAD">
            <w:pPr>
              <w:spacing w:line="500" w:lineRule="exact"/>
              <w:jc w:val="center"/>
              <w:rPr>
                <w:rFonts w:hint="eastAsia" w:ascii="宋体" w:hAnsi="宋体" w:cs="宋体"/>
                <w:sz w:val="21"/>
                <w:szCs w:val="21"/>
                <w:highlight w:val="none"/>
              </w:rPr>
            </w:pPr>
          </w:p>
        </w:tc>
        <w:tc>
          <w:tcPr>
            <w:tcW w:w="1620" w:type="dxa"/>
            <w:vAlign w:val="center"/>
          </w:tcPr>
          <w:p w14:paraId="7EB20FAB">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387DD2A8">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1D853461">
            <w:pPr>
              <w:spacing w:line="500" w:lineRule="exact"/>
              <w:jc w:val="center"/>
              <w:rPr>
                <w:rFonts w:hint="eastAsia" w:ascii="宋体" w:hAnsi="宋体" w:cs="宋体"/>
                <w:sz w:val="21"/>
                <w:szCs w:val="21"/>
                <w:highlight w:val="none"/>
              </w:rPr>
            </w:pPr>
          </w:p>
        </w:tc>
      </w:tr>
      <w:tr w14:paraId="1F9988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2A8706F4">
            <w:pPr>
              <w:spacing w:line="500" w:lineRule="exact"/>
              <w:jc w:val="center"/>
              <w:rPr>
                <w:rFonts w:hint="eastAsia" w:ascii="宋体" w:hAnsi="宋体" w:cs="宋体"/>
                <w:sz w:val="21"/>
                <w:szCs w:val="21"/>
                <w:highlight w:val="none"/>
              </w:rPr>
            </w:pPr>
          </w:p>
        </w:tc>
        <w:tc>
          <w:tcPr>
            <w:tcW w:w="1239" w:type="dxa"/>
            <w:vAlign w:val="center"/>
          </w:tcPr>
          <w:p w14:paraId="62E6C756">
            <w:pPr>
              <w:spacing w:line="500" w:lineRule="exact"/>
              <w:jc w:val="center"/>
              <w:rPr>
                <w:rFonts w:hint="eastAsia" w:ascii="宋体" w:hAnsi="宋体" w:cs="宋体"/>
                <w:sz w:val="21"/>
                <w:szCs w:val="21"/>
                <w:highlight w:val="none"/>
              </w:rPr>
            </w:pPr>
          </w:p>
        </w:tc>
        <w:tc>
          <w:tcPr>
            <w:tcW w:w="1260" w:type="dxa"/>
            <w:vAlign w:val="center"/>
          </w:tcPr>
          <w:p w14:paraId="5B60C8A8">
            <w:pPr>
              <w:spacing w:line="500" w:lineRule="exact"/>
              <w:jc w:val="center"/>
              <w:rPr>
                <w:rFonts w:hint="eastAsia" w:ascii="宋体" w:hAnsi="宋体" w:cs="宋体"/>
                <w:sz w:val="21"/>
                <w:szCs w:val="21"/>
                <w:highlight w:val="none"/>
              </w:rPr>
            </w:pPr>
          </w:p>
        </w:tc>
        <w:tc>
          <w:tcPr>
            <w:tcW w:w="1620" w:type="dxa"/>
            <w:vAlign w:val="center"/>
          </w:tcPr>
          <w:p w14:paraId="527995F0">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7362B588">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34EC6605">
            <w:pPr>
              <w:spacing w:line="500" w:lineRule="exact"/>
              <w:jc w:val="center"/>
              <w:rPr>
                <w:rFonts w:hint="eastAsia" w:ascii="宋体" w:hAnsi="宋体" w:cs="宋体"/>
                <w:sz w:val="21"/>
                <w:szCs w:val="21"/>
                <w:highlight w:val="none"/>
              </w:rPr>
            </w:pPr>
          </w:p>
        </w:tc>
      </w:tr>
      <w:tr w14:paraId="320534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20921E40">
            <w:pPr>
              <w:spacing w:line="500" w:lineRule="exact"/>
              <w:jc w:val="center"/>
              <w:rPr>
                <w:rFonts w:hint="eastAsia" w:ascii="宋体" w:hAnsi="宋体" w:cs="宋体"/>
                <w:sz w:val="21"/>
                <w:szCs w:val="21"/>
                <w:highlight w:val="none"/>
              </w:rPr>
            </w:pPr>
          </w:p>
        </w:tc>
        <w:tc>
          <w:tcPr>
            <w:tcW w:w="1239" w:type="dxa"/>
            <w:vAlign w:val="center"/>
          </w:tcPr>
          <w:p w14:paraId="6D9145D3">
            <w:pPr>
              <w:spacing w:line="500" w:lineRule="exact"/>
              <w:jc w:val="center"/>
              <w:rPr>
                <w:rFonts w:hint="eastAsia" w:ascii="宋体" w:hAnsi="宋体" w:cs="宋体"/>
                <w:sz w:val="21"/>
                <w:szCs w:val="21"/>
                <w:highlight w:val="none"/>
              </w:rPr>
            </w:pPr>
          </w:p>
        </w:tc>
        <w:tc>
          <w:tcPr>
            <w:tcW w:w="1260" w:type="dxa"/>
            <w:vAlign w:val="center"/>
          </w:tcPr>
          <w:p w14:paraId="24419B43">
            <w:pPr>
              <w:spacing w:line="500" w:lineRule="exact"/>
              <w:jc w:val="center"/>
              <w:rPr>
                <w:rFonts w:hint="eastAsia" w:ascii="宋体" w:hAnsi="宋体" w:cs="宋体"/>
                <w:sz w:val="21"/>
                <w:szCs w:val="21"/>
                <w:highlight w:val="none"/>
              </w:rPr>
            </w:pPr>
          </w:p>
        </w:tc>
        <w:tc>
          <w:tcPr>
            <w:tcW w:w="1620" w:type="dxa"/>
            <w:vAlign w:val="center"/>
          </w:tcPr>
          <w:p w14:paraId="5A5639B2">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0EC8ED80">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06D490A1">
            <w:pPr>
              <w:spacing w:line="500" w:lineRule="exact"/>
              <w:jc w:val="center"/>
              <w:rPr>
                <w:rFonts w:hint="eastAsia" w:ascii="宋体" w:hAnsi="宋体" w:cs="宋体"/>
                <w:sz w:val="21"/>
                <w:szCs w:val="21"/>
                <w:highlight w:val="none"/>
              </w:rPr>
            </w:pPr>
          </w:p>
        </w:tc>
      </w:tr>
      <w:tr w14:paraId="27AA7F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94" w:type="dxa"/>
            <w:tcBorders>
              <w:bottom w:val="single" w:color="auto" w:sz="4" w:space="0"/>
            </w:tcBorders>
            <w:vAlign w:val="center"/>
          </w:tcPr>
          <w:p w14:paraId="5C1BC120">
            <w:pPr>
              <w:spacing w:line="500" w:lineRule="exact"/>
              <w:jc w:val="center"/>
              <w:rPr>
                <w:rFonts w:hint="eastAsia" w:ascii="宋体" w:hAnsi="宋体" w:cs="宋体"/>
                <w:sz w:val="21"/>
                <w:szCs w:val="21"/>
                <w:highlight w:val="none"/>
              </w:rPr>
            </w:pPr>
          </w:p>
        </w:tc>
        <w:tc>
          <w:tcPr>
            <w:tcW w:w="1239" w:type="dxa"/>
            <w:tcBorders>
              <w:bottom w:val="single" w:color="auto" w:sz="4" w:space="0"/>
            </w:tcBorders>
            <w:vAlign w:val="center"/>
          </w:tcPr>
          <w:p w14:paraId="5A270216">
            <w:pPr>
              <w:spacing w:line="500" w:lineRule="exact"/>
              <w:jc w:val="center"/>
              <w:rPr>
                <w:rFonts w:hint="eastAsia" w:ascii="宋体" w:hAnsi="宋体" w:cs="宋体"/>
                <w:sz w:val="21"/>
                <w:szCs w:val="21"/>
                <w:highlight w:val="none"/>
              </w:rPr>
            </w:pPr>
          </w:p>
        </w:tc>
        <w:tc>
          <w:tcPr>
            <w:tcW w:w="1260" w:type="dxa"/>
            <w:tcBorders>
              <w:bottom w:val="single" w:color="auto" w:sz="4" w:space="0"/>
            </w:tcBorders>
            <w:vAlign w:val="center"/>
          </w:tcPr>
          <w:p w14:paraId="6DFB1FC6">
            <w:pPr>
              <w:spacing w:line="500" w:lineRule="exact"/>
              <w:jc w:val="center"/>
              <w:rPr>
                <w:rFonts w:hint="eastAsia" w:ascii="宋体" w:hAnsi="宋体" w:cs="宋体"/>
                <w:sz w:val="21"/>
                <w:szCs w:val="21"/>
                <w:highlight w:val="none"/>
              </w:rPr>
            </w:pPr>
          </w:p>
        </w:tc>
        <w:tc>
          <w:tcPr>
            <w:tcW w:w="1620" w:type="dxa"/>
            <w:tcBorders>
              <w:bottom w:val="single" w:color="auto" w:sz="4" w:space="0"/>
            </w:tcBorders>
            <w:vAlign w:val="center"/>
          </w:tcPr>
          <w:p w14:paraId="25E86E8B">
            <w:pPr>
              <w:spacing w:line="500" w:lineRule="exact"/>
              <w:jc w:val="center"/>
              <w:rPr>
                <w:rFonts w:hint="eastAsia" w:ascii="宋体" w:hAnsi="宋体" w:cs="宋体"/>
                <w:sz w:val="21"/>
                <w:szCs w:val="21"/>
                <w:highlight w:val="none"/>
              </w:rPr>
            </w:pPr>
          </w:p>
        </w:tc>
        <w:tc>
          <w:tcPr>
            <w:tcW w:w="1620" w:type="dxa"/>
            <w:tcBorders>
              <w:left w:val="single" w:color="auto" w:sz="4" w:space="0"/>
              <w:bottom w:val="single" w:color="auto" w:sz="4" w:space="0"/>
              <w:right w:val="single" w:color="auto" w:sz="4" w:space="0"/>
            </w:tcBorders>
            <w:vAlign w:val="center"/>
          </w:tcPr>
          <w:p w14:paraId="4684C9E5">
            <w:pPr>
              <w:spacing w:line="500" w:lineRule="exact"/>
              <w:jc w:val="center"/>
              <w:rPr>
                <w:rFonts w:hint="eastAsia" w:ascii="宋体" w:hAnsi="宋体" w:cs="宋体"/>
                <w:sz w:val="21"/>
                <w:szCs w:val="21"/>
                <w:highlight w:val="none"/>
              </w:rPr>
            </w:pPr>
          </w:p>
        </w:tc>
        <w:tc>
          <w:tcPr>
            <w:tcW w:w="1341" w:type="dxa"/>
            <w:tcBorders>
              <w:left w:val="single" w:color="auto" w:sz="4" w:space="0"/>
              <w:bottom w:val="single" w:color="auto" w:sz="4" w:space="0"/>
            </w:tcBorders>
            <w:vAlign w:val="center"/>
          </w:tcPr>
          <w:p w14:paraId="308E9DDD">
            <w:pPr>
              <w:spacing w:line="500" w:lineRule="exact"/>
              <w:jc w:val="center"/>
              <w:rPr>
                <w:rFonts w:hint="eastAsia" w:ascii="宋体" w:hAnsi="宋体" w:cs="宋体"/>
                <w:sz w:val="21"/>
                <w:szCs w:val="21"/>
                <w:highlight w:val="none"/>
              </w:rPr>
            </w:pPr>
          </w:p>
        </w:tc>
      </w:tr>
      <w:tr w14:paraId="683551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714283FD">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7E1CDE90">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34071DA3">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136A3C56">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3990F94A">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30EC9200">
            <w:pPr>
              <w:spacing w:line="500" w:lineRule="exact"/>
              <w:jc w:val="center"/>
              <w:rPr>
                <w:rFonts w:hint="eastAsia" w:ascii="宋体" w:hAnsi="宋体" w:cs="宋体"/>
                <w:sz w:val="21"/>
                <w:szCs w:val="21"/>
                <w:highlight w:val="none"/>
              </w:rPr>
            </w:pPr>
          </w:p>
        </w:tc>
      </w:tr>
      <w:tr w14:paraId="257CD7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5D2D34FB">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12DF2DAA">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05D5B226">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2A7F61AE">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5F8D5934">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0CA3E4F9">
            <w:pPr>
              <w:spacing w:line="500" w:lineRule="exact"/>
              <w:jc w:val="center"/>
              <w:rPr>
                <w:rFonts w:hint="eastAsia" w:ascii="宋体" w:hAnsi="宋体" w:cs="宋体"/>
                <w:sz w:val="21"/>
                <w:szCs w:val="21"/>
                <w:highlight w:val="none"/>
              </w:rPr>
            </w:pPr>
          </w:p>
        </w:tc>
      </w:tr>
      <w:tr w14:paraId="644373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094" w:type="dxa"/>
            <w:tcBorders>
              <w:top w:val="single" w:color="auto" w:sz="4" w:space="0"/>
              <w:bottom w:val="single" w:color="auto" w:sz="4" w:space="0"/>
            </w:tcBorders>
            <w:vAlign w:val="center"/>
          </w:tcPr>
          <w:p w14:paraId="22F0A7CE">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420C0C49">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224C585C">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631151DE">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43E7D4AE">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4204E03E">
            <w:pPr>
              <w:spacing w:line="500" w:lineRule="exact"/>
              <w:jc w:val="center"/>
              <w:rPr>
                <w:rFonts w:hint="eastAsia" w:ascii="宋体" w:hAnsi="宋体" w:cs="宋体"/>
                <w:sz w:val="21"/>
                <w:szCs w:val="21"/>
                <w:highlight w:val="none"/>
              </w:rPr>
            </w:pPr>
          </w:p>
        </w:tc>
      </w:tr>
      <w:tr w14:paraId="3166C8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094" w:type="dxa"/>
            <w:tcBorders>
              <w:top w:val="single" w:color="auto" w:sz="4" w:space="0"/>
            </w:tcBorders>
            <w:vAlign w:val="center"/>
          </w:tcPr>
          <w:p w14:paraId="650ABAA4">
            <w:pPr>
              <w:spacing w:line="500" w:lineRule="exact"/>
              <w:jc w:val="center"/>
              <w:rPr>
                <w:rFonts w:hint="eastAsia" w:ascii="宋体" w:hAnsi="宋体" w:cs="宋体"/>
                <w:sz w:val="21"/>
                <w:szCs w:val="21"/>
                <w:highlight w:val="none"/>
              </w:rPr>
            </w:pPr>
          </w:p>
        </w:tc>
        <w:tc>
          <w:tcPr>
            <w:tcW w:w="1239" w:type="dxa"/>
            <w:tcBorders>
              <w:top w:val="single" w:color="auto" w:sz="4" w:space="0"/>
            </w:tcBorders>
            <w:vAlign w:val="center"/>
          </w:tcPr>
          <w:p w14:paraId="287770FA">
            <w:pPr>
              <w:spacing w:line="500" w:lineRule="exact"/>
              <w:jc w:val="center"/>
              <w:rPr>
                <w:rFonts w:hint="eastAsia" w:ascii="宋体" w:hAnsi="宋体" w:cs="宋体"/>
                <w:sz w:val="21"/>
                <w:szCs w:val="21"/>
                <w:highlight w:val="none"/>
              </w:rPr>
            </w:pPr>
          </w:p>
        </w:tc>
        <w:tc>
          <w:tcPr>
            <w:tcW w:w="1260" w:type="dxa"/>
            <w:tcBorders>
              <w:top w:val="single" w:color="auto" w:sz="4" w:space="0"/>
            </w:tcBorders>
            <w:vAlign w:val="center"/>
          </w:tcPr>
          <w:p w14:paraId="581D2E0B">
            <w:pPr>
              <w:spacing w:line="500" w:lineRule="exact"/>
              <w:jc w:val="center"/>
              <w:rPr>
                <w:rFonts w:hint="eastAsia" w:ascii="宋体" w:hAnsi="宋体" w:cs="宋体"/>
                <w:sz w:val="21"/>
                <w:szCs w:val="21"/>
                <w:highlight w:val="none"/>
              </w:rPr>
            </w:pPr>
          </w:p>
        </w:tc>
        <w:tc>
          <w:tcPr>
            <w:tcW w:w="1620" w:type="dxa"/>
            <w:tcBorders>
              <w:top w:val="single" w:color="auto" w:sz="4" w:space="0"/>
            </w:tcBorders>
            <w:vAlign w:val="center"/>
          </w:tcPr>
          <w:p w14:paraId="5D5393B6">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right w:val="single" w:color="auto" w:sz="4" w:space="0"/>
            </w:tcBorders>
            <w:vAlign w:val="center"/>
          </w:tcPr>
          <w:p w14:paraId="37D432E6">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tcBorders>
            <w:vAlign w:val="center"/>
          </w:tcPr>
          <w:p w14:paraId="1E309F7F">
            <w:pPr>
              <w:spacing w:line="500" w:lineRule="exact"/>
              <w:jc w:val="center"/>
              <w:rPr>
                <w:rFonts w:hint="eastAsia" w:ascii="宋体" w:hAnsi="宋体" w:cs="宋体"/>
                <w:sz w:val="21"/>
                <w:szCs w:val="21"/>
                <w:highlight w:val="none"/>
              </w:rPr>
            </w:pPr>
          </w:p>
        </w:tc>
      </w:tr>
    </w:tbl>
    <w:p w14:paraId="3F8C3343">
      <w:pPr>
        <w:spacing w:line="400" w:lineRule="exact"/>
        <w:rPr>
          <w:rFonts w:hint="eastAsia" w:ascii="仿宋" w:hAnsi="仿宋" w:eastAsia="仿宋" w:cs="仿宋"/>
          <w:sz w:val="28"/>
          <w:szCs w:val="28"/>
          <w:highlight w:val="none"/>
        </w:rPr>
      </w:pPr>
      <w:r>
        <w:rPr>
          <w:rFonts w:hint="eastAsia" w:ascii="仿宋" w:hAnsi="仿宋" w:eastAsia="仿宋" w:cs="仿宋"/>
          <w:b/>
          <w:sz w:val="28"/>
          <w:szCs w:val="28"/>
          <w:highlight w:val="none"/>
        </w:rPr>
        <w:t>注：</w:t>
      </w:r>
      <w:r>
        <w:rPr>
          <w:rFonts w:hint="eastAsia" w:ascii="仿宋" w:hAnsi="仿宋" w:eastAsia="仿宋" w:cs="仿宋"/>
          <w:sz w:val="28"/>
          <w:szCs w:val="28"/>
          <w:highlight w:val="none"/>
        </w:rPr>
        <w:t>投标人以上业绩需提供有关书面证明材料。</w:t>
      </w:r>
    </w:p>
    <w:p w14:paraId="0FE0892A">
      <w:pPr>
        <w:spacing w:line="400" w:lineRule="exact"/>
        <w:ind w:firstLine="210" w:firstLineChars="75"/>
        <w:rPr>
          <w:rFonts w:hint="eastAsia" w:ascii="仿宋" w:hAnsi="仿宋" w:eastAsia="仿宋" w:cs="仿宋"/>
          <w:sz w:val="28"/>
          <w:szCs w:val="28"/>
          <w:highlight w:val="none"/>
        </w:rPr>
      </w:pPr>
    </w:p>
    <w:p w14:paraId="450B7848">
      <w:pPr>
        <w:spacing w:line="400" w:lineRule="exact"/>
        <w:ind w:firstLine="210" w:firstLineChars="75"/>
        <w:rPr>
          <w:rFonts w:hint="eastAsia" w:ascii="仿宋" w:hAnsi="仿宋" w:eastAsia="仿宋" w:cs="仿宋"/>
          <w:sz w:val="28"/>
          <w:szCs w:val="28"/>
          <w:highlight w:val="none"/>
        </w:rPr>
      </w:pPr>
    </w:p>
    <w:p w14:paraId="61EC72A9">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投标人名称：         （盖章）</w:t>
      </w:r>
    </w:p>
    <w:p w14:paraId="0E269F05">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法定代表人或授权代表（签字）</w:t>
      </w:r>
      <w:r>
        <w:rPr>
          <w:rFonts w:hint="eastAsia" w:ascii="仿宋" w:hAnsi="仿宋" w:eastAsia="仿宋" w:cs="仿宋"/>
          <w:bCs/>
          <w:sz w:val="28"/>
          <w:szCs w:val="28"/>
          <w:highlight w:val="none"/>
        </w:rPr>
        <w:t>：</w:t>
      </w:r>
    </w:p>
    <w:p w14:paraId="3F3201C1">
      <w:pPr>
        <w:spacing w:line="500" w:lineRule="exact"/>
        <w:rPr>
          <w:rFonts w:hint="eastAsia" w:asciiTheme="minorEastAsia" w:hAnsiTheme="minorEastAsia" w:eastAsiaTheme="minorEastAsia"/>
          <w:b/>
          <w:sz w:val="28"/>
          <w:szCs w:val="28"/>
          <w:highlight w:val="none"/>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Cs/>
          <w:sz w:val="28"/>
          <w:szCs w:val="28"/>
          <w:highlight w:val="none"/>
        </w:rPr>
        <w:t>投标日期:</w:t>
      </w:r>
    </w:p>
    <w:p w14:paraId="18ED9741">
      <w:pPr>
        <w:rPr>
          <w:rFonts w:hint="eastAsia" w:asciiTheme="minorEastAsia" w:hAnsiTheme="minorEastAsia" w:eastAsiaTheme="minorEastAsia"/>
          <w:sz w:val="18"/>
          <w:szCs w:val="18"/>
          <w:highlight w:val="none"/>
        </w:rPr>
      </w:pPr>
    </w:p>
    <w:p w14:paraId="565410F8">
      <w:pPr>
        <w:snapToGrid w:val="0"/>
        <w:spacing w:line="500" w:lineRule="exact"/>
        <w:ind w:firstLine="275" w:firstLineChars="98"/>
        <w:rPr>
          <w:rFonts w:hint="eastAsia" w:ascii="仿宋" w:hAnsi="仿宋" w:eastAsia="仿宋" w:cs="仿宋"/>
          <w:b/>
          <w:sz w:val="28"/>
          <w:szCs w:val="28"/>
          <w:highlight w:val="none"/>
        </w:rPr>
      </w:pPr>
      <w:r>
        <w:rPr>
          <w:rFonts w:hint="eastAsia" w:ascii="仿宋" w:hAnsi="仿宋" w:eastAsia="仿宋" w:cs="仿宋"/>
          <w:b/>
          <w:sz w:val="28"/>
          <w:szCs w:val="28"/>
          <w:highlight w:val="none"/>
        </w:rPr>
        <w:t>八、近三年财务报表</w:t>
      </w:r>
      <w:r>
        <w:rPr>
          <w:rFonts w:ascii="Times New Roman" w:hAnsi="Times New Roman" w:eastAsia="方正仿宋_GBK" w:cs="Times New Roman"/>
          <w:sz w:val="32"/>
          <w:szCs w:val="32"/>
          <w:highlight w:val="none"/>
        </w:rPr>
        <w:t>（包括资产负债表、利润表和现金流量表）</w:t>
      </w:r>
    </w:p>
    <w:p w14:paraId="057D710E">
      <w:pPr>
        <w:widowControl/>
        <w:rPr>
          <w:rFonts w:hint="eastAsia" w:ascii="仿宋" w:hAnsi="仿宋" w:eastAsia="仿宋" w:cs="仿宋"/>
          <w:b/>
          <w:bCs/>
          <w:kern w:val="0"/>
          <w:sz w:val="28"/>
          <w:szCs w:val="28"/>
          <w:highlight w:val="none"/>
        </w:rPr>
      </w:pPr>
    </w:p>
    <w:p w14:paraId="32198594">
      <w:pPr>
        <w:snapToGrid w:val="0"/>
        <w:spacing w:line="520" w:lineRule="exact"/>
        <w:ind w:left="481" w:leftChars="86" w:hanging="275" w:hangingChars="98"/>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 xml:space="preserve">（根据招标要求由投标人自行编写） </w:t>
      </w:r>
    </w:p>
    <w:p w14:paraId="0CBEB608">
      <w:pP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br w:type="page"/>
      </w:r>
    </w:p>
    <w:p w14:paraId="4A79A02B">
      <w:pPr>
        <w:snapToGrid w:val="0"/>
        <w:spacing w:line="500" w:lineRule="exact"/>
        <w:ind w:firstLine="275" w:firstLineChars="98"/>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九、近三年的纳税及员工社保缴纳证明</w:t>
      </w:r>
    </w:p>
    <w:p w14:paraId="6A255DD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F409133">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669C2C2F">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1B4CFB53">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37E714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6C7A87D">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3510B1CE">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1A77BFD1">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1C2CE2F">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34CD7D67">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5D37ED41">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FCA3C9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BB6A78B">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77C6C246">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D624AD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BE8E192">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1123D27E">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6348C150">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7706176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77AA0DBF">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5BF87B7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75674F5">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6F4B5FC">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15A8F852">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350C854B">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A5A7B44">
      <w:pPr>
        <w:snapToGrid w:val="0"/>
        <w:spacing w:line="500" w:lineRule="exact"/>
        <w:ind w:firstLine="275" w:firstLineChars="98"/>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十、近三年官网诚信证明截图证明</w:t>
      </w:r>
    </w:p>
    <w:p w14:paraId="120BF93C">
      <w:pPr>
        <w:snapToGrid w:val="0"/>
        <w:spacing w:line="520" w:lineRule="exact"/>
        <w:ind w:left="382" w:leftChars="86" w:hanging="176" w:hangingChars="98"/>
        <w:rPr>
          <w:rFonts w:hint="eastAsia" w:ascii="仿宋" w:hAnsi="仿宋" w:eastAsia="仿宋" w:cs="仿宋"/>
          <w:b/>
          <w:sz w:val="28"/>
          <w:szCs w:val="28"/>
          <w:highlight w:val="none"/>
        </w:rPr>
      </w:pPr>
      <w:r>
        <w:rPr>
          <w:rFonts w:hint="eastAsia" w:asciiTheme="minorEastAsia" w:hAnsiTheme="minorEastAsia" w:eastAsiaTheme="minorEastAsia"/>
          <w:sz w:val="18"/>
          <w:szCs w:val="18"/>
          <w:highlight w:val="none"/>
        </w:rPr>
        <w:br w:type="page"/>
      </w:r>
      <w:r>
        <w:rPr>
          <w:rFonts w:hint="eastAsia" w:ascii="仿宋" w:hAnsi="仿宋" w:eastAsia="仿宋" w:cs="仿宋"/>
          <w:b/>
          <w:sz w:val="28"/>
          <w:szCs w:val="28"/>
          <w:highlight w:val="none"/>
          <w:lang w:val="en-US" w:eastAsia="zh-CN"/>
        </w:rPr>
        <w:t>十一</w:t>
      </w:r>
      <w:r>
        <w:rPr>
          <w:rFonts w:hint="eastAsia" w:ascii="仿宋" w:hAnsi="仿宋" w:eastAsia="仿宋" w:cs="仿宋"/>
          <w:b/>
          <w:sz w:val="28"/>
          <w:szCs w:val="28"/>
          <w:highlight w:val="none"/>
        </w:rPr>
        <w:t>、承诺函</w:t>
      </w:r>
    </w:p>
    <w:p w14:paraId="2D8ABF4D">
      <w:pPr>
        <w:spacing w:line="520" w:lineRule="exact"/>
        <w:ind w:firstLine="420" w:firstLineChars="150"/>
        <w:rPr>
          <w:rFonts w:hint="eastAsia" w:ascii="仿宋" w:hAnsi="仿宋" w:eastAsia="仿宋" w:cs="仿宋"/>
          <w:sz w:val="28"/>
          <w:szCs w:val="28"/>
          <w:highlight w:val="none"/>
        </w:rPr>
      </w:pPr>
      <w:r>
        <w:rPr>
          <w:rFonts w:hint="eastAsia" w:ascii="仿宋" w:hAnsi="仿宋" w:eastAsia="仿宋" w:cs="仿宋"/>
          <w:sz w:val="28"/>
          <w:szCs w:val="28"/>
          <w:highlight w:val="none"/>
        </w:rPr>
        <w:t>__________________（采购人）：</w:t>
      </w:r>
    </w:p>
    <w:p w14:paraId="4AE7FEF1">
      <w:pPr>
        <w:spacing w:line="520" w:lineRule="exact"/>
        <w:rPr>
          <w:rFonts w:hint="eastAsia" w:ascii="仿宋" w:hAnsi="仿宋" w:eastAsia="仿宋" w:cs="仿宋"/>
          <w:sz w:val="28"/>
          <w:szCs w:val="28"/>
          <w:highlight w:val="none"/>
        </w:rPr>
      </w:pPr>
    </w:p>
    <w:p w14:paraId="59000F2A">
      <w:pPr>
        <w:spacing w:line="520" w:lineRule="exact"/>
        <w:ind w:firstLine="420"/>
        <w:rPr>
          <w:rFonts w:hint="eastAsia" w:ascii="仿宋" w:hAnsi="仿宋" w:eastAsia="仿宋" w:cs="仿宋"/>
          <w:sz w:val="28"/>
          <w:szCs w:val="28"/>
          <w:highlight w:val="none"/>
        </w:rPr>
      </w:pPr>
      <w:r>
        <w:rPr>
          <w:rFonts w:hint="eastAsia" w:ascii="仿宋" w:hAnsi="仿宋" w:eastAsia="仿宋" w:cs="仿宋"/>
          <w:sz w:val="28"/>
          <w:szCs w:val="28"/>
          <w:highlight w:val="none"/>
        </w:rPr>
        <w:t>本公司作为参加本次招标的供应商，郑重承诺具备以下条件：</w:t>
      </w:r>
    </w:p>
    <w:p w14:paraId="5FD4C357">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1．投标人具有独立承担民事责任的能力；</w:t>
      </w:r>
    </w:p>
    <w:p w14:paraId="5C860891">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2．投标人具有良好的商业信誉和健全的财务会计制度，并提供近三年的财务报表；</w:t>
      </w:r>
    </w:p>
    <w:p w14:paraId="007C2FAE">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3．投标人具有依法缴纳税收和社会保障资金的良好纪录，并提供近三年的纳税及员工社保缴纳证明；</w:t>
      </w:r>
    </w:p>
    <w:p w14:paraId="211BBF01">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4．投标人具有履行合同所必需的专业技术能力，需提供2023年1月1日以来由投标人签署的学校相关项目合同复印件（单个合同金额至少100万元）及类似项目履约能力证明材料</w:t>
      </w:r>
    </w:p>
    <w:p w14:paraId="4B84F73B">
      <w:pPr>
        <w:spacing w:line="52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投标人参加政府采购活动前三年内，没有骗取中标行为，无不正当理由放弃中标（成交）行为，未进行过恶意投诉，在经营活动中没有违法、违规记录；提供官网查询的诚信记录截图，参考查询网站：国家企业信用信息公示系统、信用中国等网站等；</w:t>
      </w:r>
    </w:p>
    <w:p w14:paraId="12F82E4F">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6．投标人具有完善的质量保证和售后服务体系； </w:t>
      </w:r>
    </w:p>
    <w:p w14:paraId="0925E266">
      <w:pPr>
        <w:spacing w:line="520" w:lineRule="exact"/>
        <w:ind w:firstLine="560" w:firstLineChars="200"/>
        <w:rPr>
          <w:rFonts w:hint="eastAsia" w:ascii="仿宋" w:hAnsi="仿宋" w:eastAsia="仿宋" w:cs="仿宋"/>
          <w:b/>
          <w:bCs/>
          <w:color w:val="FF0000"/>
          <w:sz w:val="28"/>
          <w:szCs w:val="28"/>
          <w:highlight w:val="none"/>
        </w:rPr>
      </w:pPr>
      <w:r>
        <w:rPr>
          <w:rFonts w:hint="eastAsia" w:ascii="仿宋" w:hAnsi="仿宋" w:eastAsia="仿宋" w:cs="仿宋"/>
          <w:sz w:val="28"/>
          <w:szCs w:val="28"/>
          <w:highlight w:val="none"/>
          <w:lang w:val="en-US" w:eastAsia="zh-CN"/>
        </w:rPr>
        <w:t>7.本项目不接受联合体投标。</w:t>
      </w:r>
    </w:p>
    <w:p w14:paraId="6178C4F8">
      <w:pPr>
        <w:spacing w:line="520" w:lineRule="exact"/>
        <w:rPr>
          <w:rFonts w:hint="eastAsia" w:ascii="仿宋" w:hAnsi="仿宋" w:eastAsia="仿宋" w:cs="仿宋"/>
          <w:sz w:val="28"/>
          <w:szCs w:val="28"/>
          <w:highlight w:val="none"/>
        </w:rPr>
      </w:pPr>
    </w:p>
    <w:p w14:paraId="07234E55">
      <w:pPr>
        <w:spacing w:line="520" w:lineRule="exact"/>
        <w:rPr>
          <w:rFonts w:hint="eastAsia" w:ascii="仿宋" w:hAnsi="仿宋" w:eastAsia="仿宋" w:cs="仿宋"/>
          <w:sz w:val="28"/>
          <w:szCs w:val="28"/>
          <w:highlight w:val="none"/>
        </w:rPr>
      </w:pPr>
    </w:p>
    <w:p w14:paraId="0265BC33">
      <w:pPr>
        <w:spacing w:line="520" w:lineRule="exact"/>
        <w:rPr>
          <w:rFonts w:hint="eastAsia" w:ascii="仿宋" w:hAnsi="仿宋" w:eastAsia="仿宋" w:cs="仿宋"/>
          <w:sz w:val="28"/>
          <w:szCs w:val="28"/>
          <w:highlight w:val="none"/>
        </w:rPr>
      </w:pPr>
    </w:p>
    <w:p w14:paraId="6D08A588">
      <w:pPr>
        <w:adjustRightInd w:val="0"/>
        <w:spacing w:line="52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（盖章）</w:t>
      </w:r>
    </w:p>
    <w:p w14:paraId="7A258BC8">
      <w:pPr>
        <w:adjustRightInd w:val="0"/>
        <w:spacing w:line="520" w:lineRule="exact"/>
        <w:ind w:firstLine="630" w:firstLineChars="225"/>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79832D29">
      <w:pPr>
        <w:adjustRightInd w:val="0"/>
        <w:spacing w:line="520" w:lineRule="exact"/>
        <w:ind w:firstLine="630" w:firstLineChars="225"/>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日期:</w:t>
      </w:r>
    </w:p>
    <w:p w14:paraId="156E15DE">
      <w:pPr>
        <w:snapToGrid w:val="0"/>
        <w:spacing w:line="500" w:lineRule="exact"/>
        <w:rPr>
          <w:rFonts w:hint="eastAsia" w:asciiTheme="minorEastAsia" w:hAnsiTheme="minorEastAsia" w:eastAsiaTheme="minorEastAsia"/>
          <w:b/>
          <w:bCs/>
          <w:kern w:val="0"/>
          <w:sz w:val="21"/>
          <w:szCs w:val="21"/>
          <w:highlight w:val="none"/>
        </w:rPr>
        <w:sectPr>
          <w:pgSz w:w="11907" w:h="16840"/>
          <w:pgMar w:top="1440" w:right="1466" w:bottom="1440" w:left="1440" w:header="851" w:footer="992" w:gutter="0"/>
          <w:cols w:space="425" w:num="1"/>
          <w:docGrid w:linePitch="312" w:charSpace="0"/>
        </w:sectPr>
      </w:pPr>
      <w:r>
        <w:rPr>
          <w:rFonts w:hint="eastAsia" w:asciiTheme="minorEastAsia" w:hAnsiTheme="minorEastAsia" w:eastAsiaTheme="minorEastAsia"/>
          <w:highlight w:val="none"/>
        </w:rPr>
        <w:br w:type="page"/>
      </w:r>
    </w:p>
    <w:p w14:paraId="2AE007A2">
      <w:pPr>
        <w:numPr>
          <w:ilvl w:val="0"/>
          <w:numId w:val="11"/>
        </w:numPr>
        <w:adjustRightInd w:val="0"/>
        <w:spacing w:line="480" w:lineRule="auto"/>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投标文件PDF格式的电子档U盘一份</w:t>
      </w:r>
    </w:p>
    <w:p w14:paraId="7BD07616">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31F95909">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1B107E65">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1568EF5B">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B5E90DC">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3C82E093">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F5C4132">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3BF9447D">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4BC60D53">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22AACFEA">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17BAC4A5">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63B469BF">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68EA8E8E">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69A4B2EF">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13945147">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3D205FD">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36B22EA0">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440BC5EE">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15F3E79">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53CC421">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46242D30">
      <w:pPr>
        <w:numPr>
          <w:ilvl w:val="0"/>
          <w:numId w:val="0"/>
        </w:numPr>
        <w:adjustRightInd w:val="0"/>
        <w:spacing w:line="480" w:lineRule="auto"/>
        <w:ind w:left="240" w:leftChars="0"/>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十三、招标文件购买费缴纳凭据</w:t>
      </w:r>
    </w:p>
    <w:p w14:paraId="11C0195C">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2C72A89">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BF56788">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0EAF7A6">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D4943B9">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E0BE3EE">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376C650">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BD88D1C">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6362C5EA">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00B1326">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9907AA2">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ED16995">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F1CFDEF">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BEA6E93">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13BC2FE">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ADE8903">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56757EA">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3B35BBB">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F2EA2F0">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7557409">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2EE7971">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45A5730E">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B5078C8">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C2F60BA">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E5E1A85">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3186E2D">
      <w:pPr>
        <w:tabs>
          <w:tab w:val="left" w:pos="6300"/>
        </w:tabs>
        <w:snapToGrid w:val="0"/>
        <w:spacing w:line="500" w:lineRule="exact"/>
        <w:jc w:val="center"/>
        <w:outlineLvl w:val="0"/>
        <w:rPr>
          <w:rFonts w:hint="eastAsia" w:ascii="Times New Roman" w:hAnsi="Times New Roman" w:eastAsia="方正仿宋_GBK" w:cs="Times New Roman"/>
          <w:sz w:val="28"/>
          <w:szCs w:val="28"/>
          <w:highlight w:val="none"/>
          <w:lang w:val="en-US" w:eastAsia="zh-CN"/>
        </w:rPr>
      </w:pPr>
      <w:r>
        <w:rPr>
          <w:rFonts w:hint="eastAsia" w:cs="方正仿宋_GBK" w:asciiTheme="minorEastAsia" w:hAnsiTheme="minorEastAsia" w:eastAsiaTheme="minorEastAsia"/>
          <w:color w:val="auto"/>
          <w:sz w:val="24"/>
          <w:highlight w:val="none"/>
        </w:rPr>
        <w:t>（结束）</w:t>
      </w:r>
    </w:p>
    <w:p w14:paraId="37933675">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63B5E8B2">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sectPr>
      <w:pgSz w:w="11906" w:h="16838"/>
      <w:pgMar w:top="1440" w:right="1841" w:bottom="1440" w:left="1800" w:header="851" w:footer="992" w:gutter="0"/>
      <w:pgNumType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方正细黑一简体">
    <w:altName w:val="黑体"/>
    <w:panose1 w:val="00000000000000000000"/>
    <w:charset w:val="86"/>
    <w:family w:val="auto"/>
    <w:pitch w:val="default"/>
    <w:sig w:usb0="00000000" w:usb1="00000000" w:usb2="00000010"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Heiti SC Light">
    <w:altName w:val="微软雅黑"/>
    <w:panose1 w:val="020B0404020202010101"/>
    <w:charset w:val="50"/>
    <w:family w:val="auto"/>
    <w:pitch w:val="default"/>
    <w:sig w:usb0="00000000" w:usb1="00000000" w:usb2="00000010" w:usb3="00000000" w:csb0="003E0000" w:csb1="00000000"/>
  </w:font>
  <w:font w:name="Noto Serif CJK SC">
    <w:altName w:val="宋体"/>
    <w:panose1 w:val="02020400000000000000"/>
    <w:charset w:val="86"/>
    <w:family w:val="auto"/>
    <w:pitch w:val="default"/>
    <w:sig w:usb0="00000000" w:usb1="00000000" w:usb2="00000016" w:usb3="00000000" w:csb0="602E0107" w:csb1="00000000"/>
  </w:font>
  <w:font w:name="仿宋_GB2312">
    <w:altName w:val="仿宋"/>
    <w:panose1 w:val="02010609030101010101"/>
    <w:charset w:val="86"/>
    <w:family w:val="modern"/>
    <w:pitch w:val="default"/>
    <w:sig w:usb0="00000000" w:usb1="00000000" w:usb2="0000001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汉仪楷体KW">
    <w:altName w:val="宋体"/>
    <w:panose1 w:val="00020600040101010101"/>
    <w:charset w:val="86"/>
    <w:family w:val="auto"/>
    <w:pitch w:val="default"/>
    <w:sig w:usb0="00000000" w:usb1="00000000" w:usb2="00000016"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KW">
    <w:altName w:val="宋体"/>
    <w:panose1 w:val="00020600040101010101"/>
    <w:charset w:val="86"/>
    <w:family w:val="auto"/>
    <w:pitch w:val="default"/>
    <w:sig w:usb0="00000000" w:usb1="00000000" w:usb2="00000016" w:usb3="00000000" w:csb0="00040000" w:csb1="00000000"/>
  </w:font>
  <w:font w:name="ヒラギノ角ゴ Pro W3">
    <w:altName w:val="Segoe Print"/>
    <w:panose1 w:val="00000000000000000000"/>
    <w:charset w:val="4E"/>
    <w:family w:val="auto"/>
    <w:pitch w:val="default"/>
    <w:sig w:usb0="00000000" w:usb1="00000000" w:usb2="00000012" w:usb3="00000000" w:csb0="0002000D" w:csb1="00000000"/>
  </w:font>
  <w:font w:name="C059">
    <w:altName w:val="Segoe Print"/>
    <w:panose1 w:val="00000500000000000000"/>
    <w:charset w:val="00"/>
    <w:family w:val="auto"/>
    <w:pitch w:val="default"/>
    <w:sig w:usb0="00000000" w:usb1="00000000" w:usb2="00000000" w:usb3="00000000" w:csb0="6000009F" w:csb1="00000000"/>
  </w:font>
  <w:font w:name="仿宋">
    <w:panose1 w:val="02010609060101010101"/>
    <w:charset w:val="86"/>
    <w:family w:val="modern"/>
    <w:pitch w:val="default"/>
    <w:sig w:usb0="800002BF" w:usb1="38CF7CFA" w:usb2="00000016" w:usb3="00000000" w:csb0="00040001" w:csb1="00000000"/>
  </w:font>
  <w:font w:name="文鼎细圆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3113B84">
        <w:pPr>
          <w:pStyle w:val="28"/>
          <w:jc w:val="center"/>
        </w:pPr>
        <w:r>
          <w:fldChar w:fldCharType="begin"/>
        </w:r>
        <w:r>
          <w:instrText xml:space="preserve">PAGE   \* MERGEFORMAT</w:instrText>
        </w:r>
        <w:r>
          <w:fldChar w:fldCharType="separate"/>
        </w:r>
        <w:r>
          <w:rPr>
            <w:lang w:val="zh-CN"/>
          </w:rPr>
          <w:t>25</w:t>
        </w:r>
        <w:r>
          <w:rPr>
            <w:lang w:val="zh-CN"/>
          </w:rPr>
          <w:fldChar w:fldCharType="end"/>
        </w:r>
      </w:p>
    </w:sdtContent>
  </w:sdt>
  <w:p w14:paraId="5F3F438A">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FE72D">
    <w:pPr>
      <w:jc w:val="center"/>
      <w:rPr>
        <w:rFonts w:hint="eastAsia" w:ascii="宋体" w:hAnsi="宋体"/>
        <w:color w:val="000000" w:themeColor="text1"/>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826807"/>
    <w:multiLevelType w:val="singleLevel"/>
    <w:tmpl w:val="E6826807"/>
    <w:lvl w:ilvl="0" w:tentative="0">
      <w:start w:val="12"/>
      <w:numFmt w:val="chineseCounting"/>
      <w:suff w:val="nothing"/>
      <w:lvlText w:val="%1、"/>
      <w:lvlJc w:val="left"/>
      <w:rPr>
        <w:rFonts w:hint="eastAsia"/>
      </w:rPr>
    </w:lvl>
  </w:abstractNum>
  <w:abstractNum w:abstractNumId="1">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8"/>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3">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4">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1"/>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576C171E"/>
    <w:multiLevelType w:val="multilevel"/>
    <w:tmpl w:val="576C171E"/>
    <w:lvl w:ilvl="0" w:tentative="0">
      <w:start w:val="1"/>
      <w:numFmt w:val="bullet"/>
      <w:pStyle w:val="13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6EB43250"/>
    <w:multiLevelType w:val="multilevel"/>
    <w:tmpl w:val="6EB43250"/>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720B5377"/>
    <w:multiLevelType w:val="multilevel"/>
    <w:tmpl w:val="720B5377"/>
    <w:lvl w:ilvl="0" w:tentative="0">
      <w:start w:val="1"/>
      <w:numFmt w:val="decimal"/>
      <w:pStyle w:val="177"/>
      <w:lvlText w:val="%1、"/>
      <w:lvlJc w:val="left"/>
      <w:pPr>
        <w:tabs>
          <w:tab w:val="left" w:pos="961"/>
        </w:tabs>
        <w:ind w:left="961" w:hanging="360"/>
      </w:pPr>
      <w:rPr>
        <w:rFonts w:hint="default"/>
      </w:r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8">
    <w:nsid w:val="74F233E9"/>
    <w:multiLevelType w:val="multilevel"/>
    <w:tmpl w:val="74F233E9"/>
    <w:lvl w:ilvl="0" w:tentative="0">
      <w:start w:val="1"/>
      <w:numFmt w:val="bullet"/>
      <w:pStyle w:val="13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76DB1815"/>
    <w:multiLevelType w:val="singleLevel"/>
    <w:tmpl w:val="76DB1815"/>
    <w:lvl w:ilvl="0" w:tentative="0">
      <w:start w:val="6"/>
      <w:numFmt w:val="chineseCounting"/>
      <w:suff w:val="nothing"/>
      <w:lvlText w:val="%1、"/>
      <w:lvlJc w:val="left"/>
      <w:rPr>
        <w:rFonts w:hint="eastAsia"/>
      </w:rPr>
    </w:lvl>
  </w:abstractNum>
  <w:abstractNum w:abstractNumId="10">
    <w:nsid w:val="7F746245"/>
    <w:multiLevelType w:val="multilevel"/>
    <w:tmpl w:val="7F746245"/>
    <w:lvl w:ilvl="0" w:tentative="0">
      <w:start w:val="1"/>
      <w:numFmt w:val="none"/>
      <w:pStyle w:val="193"/>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6"/>
  </w:num>
  <w:num w:numId="5">
    <w:abstractNumId w:val="8"/>
  </w:num>
  <w:num w:numId="6">
    <w:abstractNumId w:val="5"/>
  </w:num>
  <w:num w:numId="7">
    <w:abstractNumId w:val="7"/>
  </w:num>
  <w:num w:numId="8">
    <w:abstractNumId w:val="4"/>
  </w:num>
  <w:num w:numId="9">
    <w:abstractNumId w:val="10"/>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2"/>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9AE"/>
    <w:rsid w:val="00017236"/>
    <w:rsid w:val="0001748F"/>
    <w:rsid w:val="000174A7"/>
    <w:rsid w:val="0002216B"/>
    <w:rsid w:val="0002224D"/>
    <w:rsid w:val="00023DBE"/>
    <w:rsid w:val="0002538E"/>
    <w:rsid w:val="00030193"/>
    <w:rsid w:val="00030C65"/>
    <w:rsid w:val="00030D3E"/>
    <w:rsid w:val="00030E40"/>
    <w:rsid w:val="000317CE"/>
    <w:rsid w:val="00032A91"/>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5A15"/>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6DCA"/>
    <w:rsid w:val="00087EA3"/>
    <w:rsid w:val="00087ED4"/>
    <w:rsid w:val="000905F9"/>
    <w:rsid w:val="0009171A"/>
    <w:rsid w:val="00091AA8"/>
    <w:rsid w:val="0009276D"/>
    <w:rsid w:val="0009297F"/>
    <w:rsid w:val="00092E07"/>
    <w:rsid w:val="00093A6C"/>
    <w:rsid w:val="00093D03"/>
    <w:rsid w:val="00094237"/>
    <w:rsid w:val="000956B8"/>
    <w:rsid w:val="00095BC8"/>
    <w:rsid w:val="000A07EB"/>
    <w:rsid w:val="000A1801"/>
    <w:rsid w:val="000A2528"/>
    <w:rsid w:val="000A2809"/>
    <w:rsid w:val="000A2EDC"/>
    <w:rsid w:val="000A4655"/>
    <w:rsid w:val="000A5826"/>
    <w:rsid w:val="000A6B76"/>
    <w:rsid w:val="000A71D8"/>
    <w:rsid w:val="000A7796"/>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C5C3F"/>
    <w:rsid w:val="000D164D"/>
    <w:rsid w:val="000D1E42"/>
    <w:rsid w:val="000D339C"/>
    <w:rsid w:val="000D4AF9"/>
    <w:rsid w:val="000D504F"/>
    <w:rsid w:val="000D5EEB"/>
    <w:rsid w:val="000D7315"/>
    <w:rsid w:val="000D77DB"/>
    <w:rsid w:val="000D7B0B"/>
    <w:rsid w:val="000E0B71"/>
    <w:rsid w:val="000E0E5F"/>
    <w:rsid w:val="000E27CB"/>
    <w:rsid w:val="000E32C8"/>
    <w:rsid w:val="000E3739"/>
    <w:rsid w:val="000E37BC"/>
    <w:rsid w:val="000E6ADF"/>
    <w:rsid w:val="000E6D8B"/>
    <w:rsid w:val="000E7053"/>
    <w:rsid w:val="000F0441"/>
    <w:rsid w:val="000F0662"/>
    <w:rsid w:val="000F0869"/>
    <w:rsid w:val="000F0D6E"/>
    <w:rsid w:val="000F1581"/>
    <w:rsid w:val="000F19BC"/>
    <w:rsid w:val="000F2AE7"/>
    <w:rsid w:val="000F3C99"/>
    <w:rsid w:val="000F426A"/>
    <w:rsid w:val="000F5676"/>
    <w:rsid w:val="000F645E"/>
    <w:rsid w:val="000F6BD6"/>
    <w:rsid w:val="000F6CA3"/>
    <w:rsid w:val="000F6D1D"/>
    <w:rsid w:val="00100EAE"/>
    <w:rsid w:val="0010247C"/>
    <w:rsid w:val="001040A6"/>
    <w:rsid w:val="00104733"/>
    <w:rsid w:val="00104BFB"/>
    <w:rsid w:val="00105C77"/>
    <w:rsid w:val="00106EB8"/>
    <w:rsid w:val="00114142"/>
    <w:rsid w:val="001163AF"/>
    <w:rsid w:val="001217C2"/>
    <w:rsid w:val="001223AB"/>
    <w:rsid w:val="00123EDD"/>
    <w:rsid w:val="00124126"/>
    <w:rsid w:val="0012490F"/>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756"/>
    <w:rsid w:val="001549C8"/>
    <w:rsid w:val="00155FA6"/>
    <w:rsid w:val="00156F52"/>
    <w:rsid w:val="001578C6"/>
    <w:rsid w:val="00157FB9"/>
    <w:rsid w:val="00164563"/>
    <w:rsid w:val="00165A73"/>
    <w:rsid w:val="0017033D"/>
    <w:rsid w:val="0017061E"/>
    <w:rsid w:val="00170827"/>
    <w:rsid w:val="00170E76"/>
    <w:rsid w:val="001714FB"/>
    <w:rsid w:val="00172E7E"/>
    <w:rsid w:val="00173498"/>
    <w:rsid w:val="001773C5"/>
    <w:rsid w:val="00177F2F"/>
    <w:rsid w:val="00180485"/>
    <w:rsid w:val="001804B7"/>
    <w:rsid w:val="00180F57"/>
    <w:rsid w:val="00181832"/>
    <w:rsid w:val="001823FB"/>
    <w:rsid w:val="00182425"/>
    <w:rsid w:val="001829B9"/>
    <w:rsid w:val="00182F86"/>
    <w:rsid w:val="001832E4"/>
    <w:rsid w:val="00183BC7"/>
    <w:rsid w:val="00183D97"/>
    <w:rsid w:val="00184082"/>
    <w:rsid w:val="00185C1F"/>
    <w:rsid w:val="00185F25"/>
    <w:rsid w:val="00186064"/>
    <w:rsid w:val="001861AC"/>
    <w:rsid w:val="00186657"/>
    <w:rsid w:val="00186B61"/>
    <w:rsid w:val="00187256"/>
    <w:rsid w:val="00190815"/>
    <w:rsid w:val="00190F4A"/>
    <w:rsid w:val="001925E6"/>
    <w:rsid w:val="001937E8"/>
    <w:rsid w:val="00193CEE"/>
    <w:rsid w:val="00194622"/>
    <w:rsid w:val="00194958"/>
    <w:rsid w:val="00195213"/>
    <w:rsid w:val="00195656"/>
    <w:rsid w:val="001956AD"/>
    <w:rsid w:val="001A236A"/>
    <w:rsid w:val="001A29F1"/>
    <w:rsid w:val="001A2DA9"/>
    <w:rsid w:val="001A2EFE"/>
    <w:rsid w:val="001A453F"/>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C79B9"/>
    <w:rsid w:val="001D07B5"/>
    <w:rsid w:val="001D08C7"/>
    <w:rsid w:val="001D0BD5"/>
    <w:rsid w:val="001D1716"/>
    <w:rsid w:val="001D1EE7"/>
    <w:rsid w:val="001D259D"/>
    <w:rsid w:val="001D2BB8"/>
    <w:rsid w:val="001D2FB3"/>
    <w:rsid w:val="001D3500"/>
    <w:rsid w:val="001D3999"/>
    <w:rsid w:val="001D3AF0"/>
    <w:rsid w:val="001D3BA9"/>
    <w:rsid w:val="001D3BBF"/>
    <w:rsid w:val="001D4716"/>
    <w:rsid w:val="001D4A5E"/>
    <w:rsid w:val="001D4B0D"/>
    <w:rsid w:val="001D5CF7"/>
    <w:rsid w:val="001D686E"/>
    <w:rsid w:val="001D6C36"/>
    <w:rsid w:val="001D6E5F"/>
    <w:rsid w:val="001D7979"/>
    <w:rsid w:val="001E07E1"/>
    <w:rsid w:val="001E19D9"/>
    <w:rsid w:val="001E39C0"/>
    <w:rsid w:val="001E39DD"/>
    <w:rsid w:val="001E5805"/>
    <w:rsid w:val="001E61FA"/>
    <w:rsid w:val="001E63A3"/>
    <w:rsid w:val="001E6758"/>
    <w:rsid w:val="001E7F58"/>
    <w:rsid w:val="001F03F5"/>
    <w:rsid w:val="001F08D3"/>
    <w:rsid w:val="001F0CEA"/>
    <w:rsid w:val="001F12A2"/>
    <w:rsid w:val="001F1D40"/>
    <w:rsid w:val="001F28F1"/>
    <w:rsid w:val="001F2B7F"/>
    <w:rsid w:val="001F390A"/>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2494"/>
    <w:rsid w:val="00212748"/>
    <w:rsid w:val="00212E8E"/>
    <w:rsid w:val="002135F3"/>
    <w:rsid w:val="00214426"/>
    <w:rsid w:val="00214D4A"/>
    <w:rsid w:val="00215319"/>
    <w:rsid w:val="002159A1"/>
    <w:rsid w:val="00217338"/>
    <w:rsid w:val="00221B3F"/>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4B4C"/>
    <w:rsid w:val="00235DDD"/>
    <w:rsid w:val="00236BA2"/>
    <w:rsid w:val="002407B1"/>
    <w:rsid w:val="00240EF3"/>
    <w:rsid w:val="002416A2"/>
    <w:rsid w:val="0024184C"/>
    <w:rsid w:val="0024198E"/>
    <w:rsid w:val="0024257A"/>
    <w:rsid w:val="00242CA1"/>
    <w:rsid w:val="00243230"/>
    <w:rsid w:val="0024347B"/>
    <w:rsid w:val="002438CE"/>
    <w:rsid w:val="002441A5"/>
    <w:rsid w:val="00244571"/>
    <w:rsid w:val="002448F3"/>
    <w:rsid w:val="00246E4E"/>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1F2C"/>
    <w:rsid w:val="0028261B"/>
    <w:rsid w:val="00285E18"/>
    <w:rsid w:val="00285FD6"/>
    <w:rsid w:val="00286DB4"/>
    <w:rsid w:val="00290563"/>
    <w:rsid w:val="002906D5"/>
    <w:rsid w:val="00291A4A"/>
    <w:rsid w:val="0029239A"/>
    <w:rsid w:val="00292D3B"/>
    <w:rsid w:val="002961B6"/>
    <w:rsid w:val="00297763"/>
    <w:rsid w:val="002A0F00"/>
    <w:rsid w:val="002A102B"/>
    <w:rsid w:val="002A2160"/>
    <w:rsid w:val="002A263E"/>
    <w:rsid w:val="002A3112"/>
    <w:rsid w:val="002A468D"/>
    <w:rsid w:val="002A484B"/>
    <w:rsid w:val="002A5BF1"/>
    <w:rsid w:val="002A6695"/>
    <w:rsid w:val="002A7929"/>
    <w:rsid w:val="002B0609"/>
    <w:rsid w:val="002B100C"/>
    <w:rsid w:val="002B1BA1"/>
    <w:rsid w:val="002B1C30"/>
    <w:rsid w:val="002B401F"/>
    <w:rsid w:val="002B43CE"/>
    <w:rsid w:val="002B4D4A"/>
    <w:rsid w:val="002B4E6D"/>
    <w:rsid w:val="002B5764"/>
    <w:rsid w:val="002B6050"/>
    <w:rsid w:val="002B6612"/>
    <w:rsid w:val="002B6BB1"/>
    <w:rsid w:val="002B6F92"/>
    <w:rsid w:val="002C30C4"/>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5D5"/>
    <w:rsid w:val="002F2732"/>
    <w:rsid w:val="002F3CF4"/>
    <w:rsid w:val="002F4F77"/>
    <w:rsid w:val="002F63A1"/>
    <w:rsid w:val="002F74CF"/>
    <w:rsid w:val="00301F2D"/>
    <w:rsid w:val="003023F5"/>
    <w:rsid w:val="00303480"/>
    <w:rsid w:val="003068F5"/>
    <w:rsid w:val="00306DB2"/>
    <w:rsid w:val="00310099"/>
    <w:rsid w:val="003111C3"/>
    <w:rsid w:val="00311A6C"/>
    <w:rsid w:val="00312106"/>
    <w:rsid w:val="00312BDE"/>
    <w:rsid w:val="003130E3"/>
    <w:rsid w:val="003145D6"/>
    <w:rsid w:val="003159DF"/>
    <w:rsid w:val="003177C0"/>
    <w:rsid w:val="00317B73"/>
    <w:rsid w:val="00317E4F"/>
    <w:rsid w:val="00320E63"/>
    <w:rsid w:val="0032135C"/>
    <w:rsid w:val="00321DBA"/>
    <w:rsid w:val="00321EE0"/>
    <w:rsid w:val="00322D1B"/>
    <w:rsid w:val="00327D55"/>
    <w:rsid w:val="003315C5"/>
    <w:rsid w:val="003320DE"/>
    <w:rsid w:val="00337F1F"/>
    <w:rsid w:val="00337FFE"/>
    <w:rsid w:val="00340410"/>
    <w:rsid w:val="00340483"/>
    <w:rsid w:val="00340866"/>
    <w:rsid w:val="00340F38"/>
    <w:rsid w:val="00342CC4"/>
    <w:rsid w:val="003444C0"/>
    <w:rsid w:val="00346A16"/>
    <w:rsid w:val="00347510"/>
    <w:rsid w:val="0035030B"/>
    <w:rsid w:val="00350FCA"/>
    <w:rsid w:val="0035197B"/>
    <w:rsid w:val="00351FCC"/>
    <w:rsid w:val="003525E1"/>
    <w:rsid w:val="00352B0D"/>
    <w:rsid w:val="00354248"/>
    <w:rsid w:val="003546A4"/>
    <w:rsid w:val="0035507A"/>
    <w:rsid w:val="003553E3"/>
    <w:rsid w:val="00355673"/>
    <w:rsid w:val="00355C1D"/>
    <w:rsid w:val="003573FA"/>
    <w:rsid w:val="003577CD"/>
    <w:rsid w:val="0036171A"/>
    <w:rsid w:val="00362BEE"/>
    <w:rsid w:val="003648BF"/>
    <w:rsid w:val="003658F5"/>
    <w:rsid w:val="00366B18"/>
    <w:rsid w:val="003671F0"/>
    <w:rsid w:val="00367F75"/>
    <w:rsid w:val="003720DD"/>
    <w:rsid w:val="0037251F"/>
    <w:rsid w:val="00373814"/>
    <w:rsid w:val="00373C7B"/>
    <w:rsid w:val="0037478A"/>
    <w:rsid w:val="003766CF"/>
    <w:rsid w:val="00377560"/>
    <w:rsid w:val="00377D79"/>
    <w:rsid w:val="00380A0D"/>
    <w:rsid w:val="00380AEC"/>
    <w:rsid w:val="003810A0"/>
    <w:rsid w:val="003816B7"/>
    <w:rsid w:val="0038196F"/>
    <w:rsid w:val="00381BAB"/>
    <w:rsid w:val="00381C5F"/>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40E"/>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101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49A"/>
    <w:rsid w:val="003F1D6C"/>
    <w:rsid w:val="003F2438"/>
    <w:rsid w:val="003F628E"/>
    <w:rsid w:val="003F6389"/>
    <w:rsid w:val="003F67B1"/>
    <w:rsid w:val="003F6D84"/>
    <w:rsid w:val="003F7935"/>
    <w:rsid w:val="004005FD"/>
    <w:rsid w:val="0040070B"/>
    <w:rsid w:val="00400D41"/>
    <w:rsid w:val="00401031"/>
    <w:rsid w:val="004014E3"/>
    <w:rsid w:val="0040229A"/>
    <w:rsid w:val="0040249E"/>
    <w:rsid w:val="00403DD9"/>
    <w:rsid w:val="0040550D"/>
    <w:rsid w:val="0040721A"/>
    <w:rsid w:val="004077C5"/>
    <w:rsid w:val="00407F99"/>
    <w:rsid w:val="00410378"/>
    <w:rsid w:val="00410D9E"/>
    <w:rsid w:val="00410DD5"/>
    <w:rsid w:val="00410E8B"/>
    <w:rsid w:val="00411044"/>
    <w:rsid w:val="00412DA5"/>
    <w:rsid w:val="004137A2"/>
    <w:rsid w:val="00413A91"/>
    <w:rsid w:val="00414C6A"/>
    <w:rsid w:val="00417247"/>
    <w:rsid w:val="0041787C"/>
    <w:rsid w:val="00417CDB"/>
    <w:rsid w:val="0042021A"/>
    <w:rsid w:val="0042047E"/>
    <w:rsid w:val="004205BA"/>
    <w:rsid w:val="004216F1"/>
    <w:rsid w:val="00422853"/>
    <w:rsid w:val="004238A2"/>
    <w:rsid w:val="0042484A"/>
    <w:rsid w:val="00425472"/>
    <w:rsid w:val="00425CB5"/>
    <w:rsid w:val="00425E53"/>
    <w:rsid w:val="0042653F"/>
    <w:rsid w:val="00427095"/>
    <w:rsid w:val="004272B7"/>
    <w:rsid w:val="00427DD9"/>
    <w:rsid w:val="00427E43"/>
    <w:rsid w:val="00430226"/>
    <w:rsid w:val="00431AC7"/>
    <w:rsid w:val="00432C1F"/>
    <w:rsid w:val="00432CD3"/>
    <w:rsid w:val="00435845"/>
    <w:rsid w:val="00436CF0"/>
    <w:rsid w:val="00440524"/>
    <w:rsid w:val="00440A36"/>
    <w:rsid w:val="00440E5A"/>
    <w:rsid w:val="0044286A"/>
    <w:rsid w:val="004429D8"/>
    <w:rsid w:val="0044475B"/>
    <w:rsid w:val="0044503E"/>
    <w:rsid w:val="00447C9F"/>
    <w:rsid w:val="004510AE"/>
    <w:rsid w:val="0045181F"/>
    <w:rsid w:val="00451B63"/>
    <w:rsid w:val="00454EDA"/>
    <w:rsid w:val="004551AC"/>
    <w:rsid w:val="00455637"/>
    <w:rsid w:val="00455E2C"/>
    <w:rsid w:val="00456704"/>
    <w:rsid w:val="00457292"/>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75C79"/>
    <w:rsid w:val="00476926"/>
    <w:rsid w:val="00477F87"/>
    <w:rsid w:val="00480D8C"/>
    <w:rsid w:val="00480DE1"/>
    <w:rsid w:val="00481ADC"/>
    <w:rsid w:val="0048397E"/>
    <w:rsid w:val="0048418F"/>
    <w:rsid w:val="004845EB"/>
    <w:rsid w:val="00485FFF"/>
    <w:rsid w:val="00486A6E"/>
    <w:rsid w:val="00487B6F"/>
    <w:rsid w:val="00487F40"/>
    <w:rsid w:val="004901E6"/>
    <w:rsid w:val="004919CB"/>
    <w:rsid w:val="0049267A"/>
    <w:rsid w:val="00492918"/>
    <w:rsid w:val="00492985"/>
    <w:rsid w:val="00492BEE"/>
    <w:rsid w:val="00494EBF"/>
    <w:rsid w:val="00496DE6"/>
    <w:rsid w:val="004A0E4B"/>
    <w:rsid w:val="004A1363"/>
    <w:rsid w:val="004A1F82"/>
    <w:rsid w:val="004A2483"/>
    <w:rsid w:val="004A2AD9"/>
    <w:rsid w:val="004A2E10"/>
    <w:rsid w:val="004A3C01"/>
    <w:rsid w:val="004A4432"/>
    <w:rsid w:val="004B014A"/>
    <w:rsid w:val="004B0D04"/>
    <w:rsid w:val="004B0EF9"/>
    <w:rsid w:val="004B2278"/>
    <w:rsid w:val="004B320C"/>
    <w:rsid w:val="004B357C"/>
    <w:rsid w:val="004B3754"/>
    <w:rsid w:val="004B3AD0"/>
    <w:rsid w:val="004B3FE5"/>
    <w:rsid w:val="004B59FE"/>
    <w:rsid w:val="004B7509"/>
    <w:rsid w:val="004B7C30"/>
    <w:rsid w:val="004C0628"/>
    <w:rsid w:val="004C08CE"/>
    <w:rsid w:val="004C0DD8"/>
    <w:rsid w:val="004C3BA5"/>
    <w:rsid w:val="004C3E2D"/>
    <w:rsid w:val="004C455A"/>
    <w:rsid w:val="004C4758"/>
    <w:rsid w:val="004C697B"/>
    <w:rsid w:val="004C7915"/>
    <w:rsid w:val="004C7A2B"/>
    <w:rsid w:val="004D03E1"/>
    <w:rsid w:val="004D1476"/>
    <w:rsid w:val="004D2C93"/>
    <w:rsid w:val="004D2E85"/>
    <w:rsid w:val="004D453D"/>
    <w:rsid w:val="004D50AE"/>
    <w:rsid w:val="004D6854"/>
    <w:rsid w:val="004D6F13"/>
    <w:rsid w:val="004D70C6"/>
    <w:rsid w:val="004D752D"/>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BBF"/>
    <w:rsid w:val="004E6CCC"/>
    <w:rsid w:val="004E776B"/>
    <w:rsid w:val="004E7ACA"/>
    <w:rsid w:val="004F041F"/>
    <w:rsid w:val="004F0457"/>
    <w:rsid w:val="004F0FFA"/>
    <w:rsid w:val="004F29DD"/>
    <w:rsid w:val="004F2CE0"/>
    <w:rsid w:val="004F300B"/>
    <w:rsid w:val="004F33FD"/>
    <w:rsid w:val="004F33FE"/>
    <w:rsid w:val="004F4682"/>
    <w:rsid w:val="004F4C0B"/>
    <w:rsid w:val="004F6CA5"/>
    <w:rsid w:val="004F6DAA"/>
    <w:rsid w:val="004F7538"/>
    <w:rsid w:val="004F7F8F"/>
    <w:rsid w:val="00501388"/>
    <w:rsid w:val="00503779"/>
    <w:rsid w:val="00506767"/>
    <w:rsid w:val="0050750D"/>
    <w:rsid w:val="0050766B"/>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3F45"/>
    <w:rsid w:val="00534310"/>
    <w:rsid w:val="005353DB"/>
    <w:rsid w:val="0053572D"/>
    <w:rsid w:val="005357FF"/>
    <w:rsid w:val="00536854"/>
    <w:rsid w:val="005376E0"/>
    <w:rsid w:val="00537DD0"/>
    <w:rsid w:val="00540CD2"/>
    <w:rsid w:val="00540FB8"/>
    <w:rsid w:val="0054214A"/>
    <w:rsid w:val="0054221E"/>
    <w:rsid w:val="00542BB2"/>
    <w:rsid w:val="005435EC"/>
    <w:rsid w:val="00543731"/>
    <w:rsid w:val="00543EC1"/>
    <w:rsid w:val="00544737"/>
    <w:rsid w:val="00544F7A"/>
    <w:rsid w:val="0054555C"/>
    <w:rsid w:val="005456EF"/>
    <w:rsid w:val="00545809"/>
    <w:rsid w:val="00545C31"/>
    <w:rsid w:val="00545DC3"/>
    <w:rsid w:val="00545E54"/>
    <w:rsid w:val="00546468"/>
    <w:rsid w:val="00550802"/>
    <w:rsid w:val="00550CFD"/>
    <w:rsid w:val="00550F6F"/>
    <w:rsid w:val="00551136"/>
    <w:rsid w:val="005514DE"/>
    <w:rsid w:val="0055186F"/>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5E90"/>
    <w:rsid w:val="00577924"/>
    <w:rsid w:val="005779C4"/>
    <w:rsid w:val="00580307"/>
    <w:rsid w:val="0058139E"/>
    <w:rsid w:val="005843D2"/>
    <w:rsid w:val="00584907"/>
    <w:rsid w:val="005867D1"/>
    <w:rsid w:val="00587407"/>
    <w:rsid w:val="00587ECD"/>
    <w:rsid w:val="005907BE"/>
    <w:rsid w:val="00592A26"/>
    <w:rsid w:val="00594117"/>
    <w:rsid w:val="005946BD"/>
    <w:rsid w:val="005967F1"/>
    <w:rsid w:val="005976D2"/>
    <w:rsid w:val="005A06F7"/>
    <w:rsid w:val="005A0B9F"/>
    <w:rsid w:val="005A0FC7"/>
    <w:rsid w:val="005A168C"/>
    <w:rsid w:val="005A3305"/>
    <w:rsid w:val="005A431C"/>
    <w:rsid w:val="005A465E"/>
    <w:rsid w:val="005A5F3B"/>
    <w:rsid w:val="005A64C2"/>
    <w:rsid w:val="005A7BAE"/>
    <w:rsid w:val="005B02F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5EC1"/>
    <w:rsid w:val="005D720C"/>
    <w:rsid w:val="005D7C1C"/>
    <w:rsid w:val="005E2135"/>
    <w:rsid w:val="005E29CA"/>
    <w:rsid w:val="005E3412"/>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0758"/>
    <w:rsid w:val="006214FC"/>
    <w:rsid w:val="006215FD"/>
    <w:rsid w:val="00621659"/>
    <w:rsid w:val="006219B7"/>
    <w:rsid w:val="006226D4"/>
    <w:rsid w:val="006234EC"/>
    <w:rsid w:val="00623FD7"/>
    <w:rsid w:val="0062454A"/>
    <w:rsid w:val="0062488C"/>
    <w:rsid w:val="00624A32"/>
    <w:rsid w:val="006275A9"/>
    <w:rsid w:val="00627E8E"/>
    <w:rsid w:val="00630B8D"/>
    <w:rsid w:val="006315AD"/>
    <w:rsid w:val="0063281F"/>
    <w:rsid w:val="00636987"/>
    <w:rsid w:val="00637E64"/>
    <w:rsid w:val="0064097B"/>
    <w:rsid w:val="00640F36"/>
    <w:rsid w:val="006424EF"/>
    <w:rsid w:val="00643651"/>
    <w:rsid w:val="006437C4"/>
    <w:rsid w:val="00643C71"/>
    <w:rsid w:val="00644670"/>
    <w:rsid w:val="0064507E"/>
    <w:rsid w:val="00646017"/>
    <w:rsid w:val="006479AE"/>
    <w:rsid w:val="00651D95"/>
    <w:rsid w:val="0065254A"/>
    <w:rsid w:val="006525CA"/>
    <w:rsid w:val="00652D08"/>
    <w:rsid w:val="00654E73"/>
    <w:rsid w:val="0065601D"/>
    <w:rsid w:val="00656E7B"/>
    <w:rsid w:val="00660A62"/>
    <w:rsid w:val="00661EC4"/>
    <w:rsid w:val="00662047"/>
    <w:rsid w:val="006623B8"/>
    <w:rsid w:val="00662F9B"/>
    <w:rsid w:val="006634D1"/>
    <w:rsid w:val="00663920"/>
    <w:rsid w:val="00664947"/>
    <w:rsid w:val="00664CCF"/>
    <w:rsid w:val="00666230"/>
    <w:rsid w:val="006675AE"/>
    <w:rsid w:val="00672F55"/>
    <w:rsid w:val="006733A4"/>
    <w:rsid w:val="00673B6D"/>
    <w:rsid w:val="006741DC"/>
    <w:rsid w:val="00674B5A"/>
    <w:rsid w:val="006753D2"/>
    <w:rsid w:val="006755B6"/>
    <w:rsid w:val="00677868"/>
    <w:rsid w:val="00681644"/>
    <w:rsid w:val="006824B5"/>
    <w:rsid w:val="006832EB"/>
    <w:rsid w:val="00683A8F"/>
    <w:rsid w:val="0068565B"/>
    <w:rsid w:val="00685D77"/>
    <w:rsid w:val="0068628B"/>
    <w:rsid w:val="0068647C"/>
    <w:rsid w:val="006866A4"/>
    <w:rsid w:val="0069036F"/>
    <w:rsid w:val="00690B82"/>
    <w:rsid w:val="006910FA"/>
    <w:rsid w:val="0069291B"/>
    <w:rsid w:val="00694186"/>
    <w:rsid w:val="0069436B"/>
    <w:rsid w:val="006954F6"/>
    <w:rsid w:val="0069574B"/>
    <w:rsid w:val="006A24C5"/>
    <w:rsid w:val="006A3AF3"/>
    <w:rsid w:val="006A405E"/>
    <w:rsid w:val="006A5991"/>
    <w:rsid w:val="006A5D24"/>
    <w:rsid w:val="006A5DDE"/>
    <w:rsid w:val="006A61D2"/>
    <w:rsid w:val="006A6C7C"/>
    <w:rsid w:val="006A7CF9"/>
    <w:rsid w:val="006B016D"/>
    <w:rsid w:val="006B456B"/>
    <w:rsid w:val="006B5841"/>
    <w:rsid w:val="006B6920"/>
    <w:rsid w:val="006B71BD"/>
    <w:rsid w:val="006C0746"/>
    <w:rsid w:val="006C15E7"/>
    <w:rsid w:val="006C35C3"/>
    <w:rsid w:val="006C39D7"/>
    <w:rsid w:val="006C3D61"/>
    <w:rsid w:val="006C6210"/>
    <w:rsid w:val="006C6CDA"/>
    <w:rsid w:val="006D0A15"/>
    <w:rsid w:val="006D1A30"/>
    <w:rsid w:val="006D2D1C"/>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427F"/>
    <w:rsid w:val="006F481C"/>
    <w:rsid w:val="006F5002"/>
    <w:rsid w:val="006F5867"/>
    <w:rsid w:val="006F657E"/>
    <w:rsid w:val="006F7A29"/>
    <w:rsid w:val="007000CC"/>
    <w:rsid w:val="00701269"/>
    <w:rsid w:val="007030CD"/>
    <w:rsid w:val="007032D9"/>
    <w:rsid w:val="00704F6D"/>
    <w:rsid w:val="00705B98"/>
    <w:rsid w:val="007065B2"/>
    <w:rsid w:val="007078E8"/>
    <w:rsid w:val="00707FCB"/>
    <w:rsid w:val="00710DF3"/>
    <w:rsid w:val="0071113A"/>
    <w:rsid w:val="00711CCE"/>
    <w:rsid w:val="00712C70"/>
    <w:rsid w:val="00712D70"/>
    <w:rsid w:val="00713634"/>
    <w:rsid w:val="00713FCB"/>
    <w:rsid w:val="00714D1D"/>
    <w:rsid w:val="007155C3"/>
    <w:rsid w:val="00715FE9"/>
    <w:rsid w:val="00720647"/>
    <w:rsid w:val="00721643"/>
    <w:rsid w:val="00721ED9"/>
    <w:rsid w:val="00722139"/>
    <w:rsid w:val="00722FB5"/>
    <w:rsid w:val="00723782"/>
    <w:rsid w:val="00723E94"/>
    <w:rsid w:val="00724D3D"/>
    <w:rsid w:val="00725DBF"/>
    <w:rsid w:val="007279FF"/>
    <w:rsid w:val="0073042F"/>
    <w:rsid w:val="00730434"/>
    <w:rsid w:val="00731190"/>
    <w:rsid w:val="00731F7E"/>
    <w:rsid w:val="00732DC7"/>
    <w:rsid w:val="007333C2"/>
    <w:rsid w:val="00733C14"/>
    <w:rsid w:val="007348DF"/>
    <w:rsid w:val="007357EE"/>
    <w:rsid w:val="007358F1"/>
    <w:rsid w:val="007362BD"/>
    <w:rsid w:val="00736B3D"/>
    <w:rsid w:val="00736C3D"/>
    <w:rsid w:val="00740EE0"/>
    <w:rsid w:val="00741C49"/>
    <w:rsid w:val="00741F73"/>
    <w:rsid w:val="007430FD"/>
    <w:rsid w:val="0074369C"/>
    <w:rsid w:val="0074414C"/>
    <w:rsid w:val="00746D11"/>
    <w:rsid w:val="00746FD1"/>
    <w:rsid w:val="0074702C"/>
    <w:rsid w:val="0074743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31C"/>
    <w:rsid w:val="00781ADF"/>
    <w:rsid w:val="00781DB6"/>
    <w:rsid w:val="007855C6"/>
    <w:rsid w:val="00785F6B"/>
    <w:rsid w:val="0078656F"/>
    <w:rsid w:val="00786CD5"/>
    <w:rsid w:val="00786FFC"/>
    <w:rsid w:val="0078734B"/>
    <w:rsid w:val="00787723"/>
    <w:rsid w:val="00787C4C"/>
    <w:rsid w:val="007958FB"/>
    <w:rsid w:val="00795B15"/>
    <w:rsid w:val="00795FF4"/>
    <w:rsid w:val="0079634A"/>
    <w:rsid w:val="00796B94"/>
    <w:rsid w:val="00796C4C"/>
    <w:rsid w:val="007971D9"/>
    <w:rsid w:val="007A03FA"/>
    <w:rsid w:val="007A05C9"/>
    <w:rsid w:val="007A1097"/>
    <w:rsid w:val="007A18A9"/>
    <w:rsid w:val="007A1FEE"/>
    <w:rsid w:val="007A34D2"/>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3B74"/>
    <w:rsid w:val="007C4424"/>
    <w:rsid w:val="007C4AAC"/>
    <w:rsid w:val="007C58D7"/>
    <w:rsid w:val="007C5AED"/>
    <w:rsid w:val="007C779C"/>
    <w:rsid w:val="007D11F9"/>
    <w:rsid w:val="007D19ED"/>
    <w:rsid w:val="007D1F90"/>
    <w:rsid w:val="007D258A"/>
    <w:rsid w:val="007D3A2F"/>
    <w:rsid w:val="007D52A2"/>
    <w:rsid w:val="007D53F1"/>
    <w:rsid w:val="007D5BA4"/>
    <w:rsid w:val="007D6101"/>
    <w:rsid w:val="007D692B"/>
    <w:rsid w:val="007D6BB2"/>
    <w:rsid w:val="007D7EE0"/>
    <w:rsid w:val="007E0333"/>
    <w:rsid w:val="007E0BDF"/>
    <w:rsid w:val="007E1D36"/>
    <w:rsid w:val="007E2A84"/>
    <w:rsid w:val="007E53CD"/>
    <w:rsid w:val="007E6E1F"/>
    <w:rsid w:val="007E6EC1"/>
    <w:rsid w:val="007F0375"/>
    <w:rsid w:val="007F0E99"/>
    <w:rsid w:val="007F131D"/>
    <w:rsid w:val="007F1A45"/>
    <w:rsid w:val="007F307A"/>
    <w:rsid w:val="007F38CF"/>
    <w:rsid w:val="007F40A5"/>
    <w:rsid w:val="007F5C20"/>
    <w:rsid w:val="007F5D2D"/>
    <w:rsid w:val="007F6906"/>
    <w:rsid w:val="007F7026"/>
    <w:rsid w:val="007F7123"/>
    <w:rsid w:val="00801357"/>
    <w:rsid w:val="008019BE"/>
    <w:rsid w:val="00801E30"/>
    <w:rsid w:val="008023C7"/>
    <w:rsid w:val="00803BE0"/>
    <w:rsid w:val="00804D10"/>
    <w:rsid w:val="008058BC"/>
    <w:rsid w:val="00805CB6"/>
    <w:rsid w:val="00807AAE"/>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219"/>
    <w:rsid w:val="00830BB7"/>
    <w:rsid w:val="008328F8"/>
    <w:rsid w:val="0083292F"/>
    <w:rsid w:val="00833041"/>
    <w:rsid w:val="00833B72"/>
    <w:rsid w:val="00834573"/>
    <w:rsid w:val="0083500D"/>
    <w:rsid w:val="008367D9"/>
    <w:rsid w:val="0084222F"/>
    <w:rsid w:val="00842AAA"/>
    <w:rsid w:val="00842BBD"/>
    <w:rsid w:val="00842E47"/>
    <w:rsid w:val="008434C2"/>
    <w:rsid w:val="00846027"/>
    <w:rsid w:val="008460CD"/>
    <w:rsid w:val="0084624D"/>
    <w:rsid w:val="008463F2"/>
    <w:rsid w:val="008467EC"/>
    <w:rsid w:val="008516BB"/>
    <w:rsid w:val="00852FE6"/>
    <w:rsid w:val="00853C17"/>
    <w:rsid w:val="00853CC7"/>
    <w:rsid w:val="0085452A"/>
    <w:rsid w:val="0085457A"/>
    <w:rsid w:val="00855F52"/>
    <w:rsid w:val="008568D0"/>
    <w:rsid w:val="00856B9D"/>
    <w:rsid w:val="00857B71"/>
    <w:rsid w:val="0086109C"/>
    <w:rsid w:val="00861873"/>
    <w:rsid w:val="0086227A"/>
    <w:rsid w:val="00862399"/>
    <w:rsid w:val="008636F1"/>
    <w:rsid w:val="00863A53"/>
    <w:rsid w:val="00863CCC"/>
    <w:rsid w:val="00863EEE"/>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0B2A"/>
    <w:rsid w:val="008819AB"/>
    <w:rsid w:val="00882EC3"/>
    <w:rsid w:val="0088464C"/>
    <w:rsid w:val="0088734E"/>
    <w:rsid w:val="00887D74"/>
    <w:rsid w:val="008912C6"/>
    <w:rsid w:val="00891817"/>
    <w:rsid w:val="00891FBB"/>
    <w:rsid w:val="00892546"/>
    <w:rsid w:val="00893665"/>
    <w:rsid w:val="008938EF"/>
    <w:rsid w:val="008A0E46"/>
    <w:rsid w:val="008A24A5"/>
    <w:rsid w:val="008A2B28"/>
    <w:rsid w:val="008A2E77"/>
    <w:rsid w:val="008A4962"/>
    <w:rsid w:val="008A5C0C"/>
    <w:rsid w:val="008A5D4E"/>
    <w:rsid w:val="008A61BE"/>
    <w:rsid w:val="008A6292"/>
    <w:rsid w:val="008A6A9F"/>
    <w:rsid w:val="008A6E8B"/>
    <w:rsid w:val="008A7D84"/>
    <w:rsid w:val="008B11C4"/>
    <w:rsid w:val="008B36BB"/>
    <w:rsid w:val="008B3752"/>
    <w:rsid w:val="008B4D9C"/>
    <w:rsid w:val="008B56CA"/>
    <w:rsid w:val="008B5860"/>
    <w:rsid w:val="008B66AF"/>
    <w:rsid w:val="008B716F"/>
    <w:rsid w:val="008C08D9"/>
    <w:rsid w:val="008C3232"/>
    <w:rsid w:val="008C3632"/>
    <w:rsid w:val="008C3CF2"/>
    <w:rsid w:val="008C4F0E"/>
    <w:rsid w:val="008C5555"/>
    <w:rsid w:val="008C65A6"/>
    <w:rsid w:val="008C7888"/>
    <w:rsid w:val="008C7A02"/>
    <w:rsid w:val="008D1361"/>
    <w:rsid w:val="008D179E"/>
    <w:rsid w:val="008D27A8"/>
    <w:rsid w:val="008D303E"/>
    <w:rsid w:val="008D383A"/>
    <w:rsid w:val="008D3EA0"/>
    <w:rsid w:val="008D4081"/>
    <w:rsid w:val="008D4425"/>
    <w:rsid w:val="008D4D8C"/>
    <w:rsid w:val="008D53EC"/>
    <w:rsid w:val="008D5C15"/>
    <w:rsid w:val="008D668B"/>
    <w:rsid w:val="008D6695"/>
    <w:rsid w:val="008D7073"/>
    <w:rsid w:val="008D762D"/>
    <w:rsid w:val="008E0DA4"/>
    <w:rsid w:val="008E4544"/>
    <w:rsid w:val="008E4662"/>
    <w:rsid w:val="008E48B9"/>
    <w:rsid w:val="008F0937"/>
    <w:rsid w:val="008F2582"/>
    <w:rsid w:val="008F2F2F"/>
    <w:rsid w:val="008F4B27"/>
    <w:rsid w:val="008F5415"/>
    <w:rsid w:val="008F5CD9"/>
    <w:rsid w:val="008F7CF2"/>
    <w:rsid w:val="00900D6A"/>
    <w:rsid w:val="00904EC9"/>
    <w:rsid w:val="00904F71"/>
    <w:rsid w:val="0090659B"/>
    <w:rsid w:val="009070CF"/>
    <w:rsid w:val="0091015E"/>
    <w:rsid w:val="009107E4"/>
    <w:rsid w:val="009108D0"/>
    <w:rsid w:val="009165BA"/>
    <w:rsid w:val="00916EAA"/>
    <w:rsid w:val="00917546"/>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1D15"/>
    <w:rsid w:val="00944CA4"/>
    <w:rsid w:val="009452A1"/>
    <w:rsid w:val="00945C33"/>
    <w:rsid w:val="00945FE6"/>
    <w:rsid w:val="0094626D"/>
    <w:rsid w:val="009464C9"/>
    <w:rsid w:val="00951AE6"/>
    <w:rsid w:val="00951EF6"/>
    <w:rsid w:val="009522B6"/>
    <w:rsid w:val="00952836"/>
    <w:rsid w:val="0095386E"/>
    <w:rsid w:val="00954409"/>
    <w:rsid w:val="009546E1"/>
    <w:rsid w:val="00956037"/>
    <w:rsid w:val="00956B4E"/>
    <w:rsid w:val="00956F40"/>
    <w:rsid w:val="00960289"/>
    <w:rsid w:val="009607B7"/>
    <w:rsid w:val="009611C8"/>
    <w:rsid w:val="00961453"/>
    <w:rsid w:val="00963316"/>
    <w:rsid w:val="009646FB"/>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6DA4"/>
    <w:rsid w:val="009775D0"/>
    <w:rsid w:val="00977859"/>
    <w:rsid w:val="009825F1"/>
    <w:rsid w:val="009826EB"/>
    <w:rsid w:val="00982F57"/>
    <w:rsid w:val="009856A1"/>
    <w:rsid w:val="00986004"/>
    <w:rsid w:val="00990412"/>
    <w:rsid w:val="00990445"/>
    <w:rsid w:val="00992B41"/>
    <w:rsid w:val="00995C2E"/>
    <w:rsid w:val="009977DC"/>
    <w:rsid w:val="00997FAE"/>
    <w:rsid w:val="009A0274"/>
    <w:rsid w:val="009A0F49"/>
    <w:rsid w:val="009A1054"/>
    <w:rsid w:val="009A191A"/>
    <w:rsid w:val="009A1BC0"/>
    <w:rsid w:val="009A1EC5"/>
    <w:rsid w:val="009A298C"/>
    <w:rsid w:val="009A35A0"/>
    <w:rsid w:val="009A3A75"/>
    <w:rsid w:val="009A3C50"/>
    <w:rsid w:val="009A4378"/>
    <w:rsid w:val="009A48D7"/>
    <w:rsid w:val="009A63D8"/>
    <w:rsid w:val="009A64F2"/>
    <w:rsid w:val="009A689D"/>
    <w:rsid w:val="009A6A23"/>
    <w:rsid w:val="009B10CA"/>
    <w:rsid w:val="009B1D61"/>
    <w:rsid w:val="009B1EE6"/>
    <w:rsid w:val="009B1FB9"/>
    <w:rsid w:val="009B237F"/>
    <w:rsid w:val="009B29D5"/>
    <w:rsid w:val="009B3080"/>
    <w:rsid w:val="009B3831"/>
    <w:rsid w:val="009B55B6"/>
    <w:rsid w:val="009B5B28"/>
    <w:rsid w:val="009B5E7E"/>
    <w:rsid w:val="009B6696"/>
    <w:rsid w:val="009B6888"/>
    <w:rsid w:val="009B7BD2"/>
    <w:rsid w:val="009B7F80"/>
    <w:rsid w:val="009C0769"/>
    <w:rsid w:val="009C0CC6"/>
    <w:rsid w:val="009C1173"/>
    <w:rsid w:val="009C20E7"/>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6536"/>
    <w:rsid w:val="009E70EF"/>
    <w:rsid w:val="009E722D"/>
    <w:rsid w:val="009E7985"/>
    <w:rsid w:val="009F0F01"/>
    <w:rsid w:val="009F31AC"/>
    <w:rsid w:val="009F3A13"/>
    <w:rsid w:val="009F3D67"/>
    <w:rsid w:val="009F3E32"/>
    <w:rsid w:val="009F500D"/>
    <w:rsid w:val="009F6CEE"/>
    <w:rsid w:val="009F7836"/>
    <w:rsid w:val="00A0060A"/>
    <w:rsid w:val="00A00FB4"/>
    <w:rsid w:val="00A02231"/>
    <w:rsid w:val="00A024B4"/>
    <w:rsid w:val="00A02B17"/>
    <w:rsid w:val="00A02C7A"/>
    <w:rsid w:val="00A040F1"/>
    <w:rsid w:val="00A04459"/>
    <w:rsid w:val="00A050FC"/>
    <w:rsid w:val="00A10E83"/>
    <w:rsid w:val="00A11ADB"/>
    <w:rsid w:val="00A125CA"/>
    <w:rsid w:val="00A12BF8"/>
    <w:rsid w:val="00A13ACC"/>
    <w:rsid w:val="00A14448"/>
    <w:rsid w:val="00A14473"/>
    <w:rsid w:val="00A14974"/>
    <w:rsid w:val="00A14ACA"/>
    <w:rsid w:val="00A1566C"/>
    <w:rsid w:val="00A15939"/>
    <w:rsid w:val="00A15E8B"/>
    <w:rsid w:val="00A161E6"/>
    <w:rsid w:val="00A1629D"/>
    <w:rsid w:val="00A166CB"/>
    <w:rsid w:val="00A22A71"/>
    <w:rsid w:val="00A2310C"/>
    <w:rsid w:val="00A23434"/>
    <w:rsid w:val="00A23435"/>
    <w:rsid w:val="00A2371A"/>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5521"/>
    <w:rsid w:val="00A360D9"/>
    <w:rsid w:val="00A3692C"/>
    <w:rsid w:val="00A376DB"/>
    <w:rsid w:val="00A42499"/>
    <w:rsid w:val="00A425E9"/>
    <w:rsid w:val="00A43273"/>
    <w:rsid w:val="00A4409C"/>
    <w:rsid w:val="00A440C5"/>
    <w:rsid w:val="00A4749F"/>
    <w:rsid w:val="00A508AD"/>
    <w:rsid w:val="00A50E23"/>
    <w:rsid w:val="00A515B8"/>
    <w:rsid w:val="00A51893"/>
    <w:rsid w:val="00A52A81"/>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2A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5D86"/>
    <w:rsid w:val="00AA60DE"/>
    <w:rsid w:val="00AA68D7"/>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C74B1"/>
    <w:rsid w:val="00AD1782"/>
    <w:rsid w:val="00AD18B4"/>
    <w:rsid w:val="00AD1D8D"/>
    <w:rsid w:val="00AD2601"/>
    <w:rsid w:val="00AD33DA"/>
    <w:rsid w:val="00AD3935"/>
    <w:rsid w:val="00AD3A86"/>
    <w:rsid w:val="00AD5491"/>
    <w:rsid w:val="00AD65BB"/>
    <w:rsid w:val="00AD6762"/>
    <w:rsid w:val="00AD6D03"/>
    <w:rsid w:val="00AD7BA8"/>
    <w:rsid w:val="00AE0256"/>
    <w:rsid w:val="00AE15BF"/>
    <w:rsid w:val="00AE1A0A"/>
    <w:rsid w:val="00AE30D9"/>
    <w:rsid w:val="00AE3467"/>
    <w:rsid w:val="00AE468D"/>
    <w:rsid w:val="00AE49C2"/>
    <w:rsid w:val="00AE51E8"/>
    <w:rsid w:val="00AE6013"/>
    <w:rsid w:val="00AE791A"/>
    <w:rsid w:val="00AF055D"/>
    <w:rsid w:val="00AF47AA"/>
    <w:rsid w:val="00AF4E1D"/>
    <w:rsid w:val="00AF7263"/>
    <w:rsid w:val="00AF7AEA"/>
    <w:rsid w:val="00B00184"/>
    <w:rsid w:val="00B02C77"/>
    <w:rsid w:val="00B02CA8"/>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2DDA"/>
    <w:rsid w:val="00B23578"/>
    <w:rsid w:val="00B253A0"/>
    <w:rsid w:val="00B255E6"/>
    <w:rsid w:val="00B2570B"/>
    <w:rsid w:val="00B263AC"/>
    <w:rsid w:val="00B3140F"/>
    <w:rsid w:val="00B32977"/>
    <w:rsid w:val="00B32B26"/>
    <w:rsid w:val="00B32EE9"/>
    <w:rsid w:val="00B33CE5"/>
    <w:rsid w:val="00B33F6B"/>
    <w:rsid w:val="00B34D86"/>
    <w:rsid w:val="00B35E72"/>
    <w:rsid w:val="00B36157"/>
    <w:rsid w:val="00B37C0C"/>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423"/>
    <w:rsid w:val="00B61AE9"/>
    <w:rsid w:val="00B62649"/>
    <w:rsid w:val="00B62838"/>
    <w:rsid w:val="00B62C25"/>
    <w:rsid w:val="00B63A1D"/>
    <w:rsid w:val="00B64598"/>
    <w:rsid w:val="00B650EE"/>
    <w:rsid w:val="00B65BB1"/>
    <w:rsid w:val="00B6657B"/>
    <w:rsid w:val="00B66AA2"/>
    <w:rsid w:val="00B66ECE"/>
    <w:rsid w:val="00B7138C"/>
    <w:rsid w:val="00B71660"/>
    <w:rsid w:val="00B71DDC"/>
    <w:rsid w:val="00B7265F"/>
    <w:rsid w:val="00B726C0"/>
    <w:rsid w:val="00B728F7"/>
    <w:rsid w:val="00B7376D"/>
    <w:rsid w:val="00B741C7"/>
    <w:rsid w:val="00B74926"/>
    <w:rsid w:val="00B74E7B"/>
    <w:rsid w:val="00B753F1"/>
    <w:rsid w:val="00B76070"/>
    <w:rsid w:val="00B76AEA"/>
    <w:rsid w:val="00B76B10"/>
    <w:rsid w:val="00B76BB7"/>
    <w:rsid w:val="00B82109"/>
    <w:rsid w:val="00B873E4"/>
    <w:rsid w:val="00B87583"/>
    <w:rsid w:val="00B87803"/>
    <w:rsid w:val="00B903EA"/>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58"/>
    <w:rsid w:val="00BA19AA"/>
    <w:rsid w:val="00BA24AD"/>
    <w:rsid w:val="00BA2F17"/>
    <w:rsid w:val="00BA3E7F"/>
    <w:rsid w:val="00BA4A8A"/>
    <w:rsid w:val="00BA4D7C"/>
    <w:rsid w:val="00BA726E"/>
    <w:rsid w:val="00BA7761"/>
    <w:rsid w:val="00BA7BB4"/>
    <w:rsid w:val="00BA7BB9"/>
    <w:rsid w:val="00BB081E"/>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67C"/>
    <w:rsid w:val="00BC6E15"/>
    <w:rsid w:val="00BC740C"/>
    <w:rsid w:val="00BC79C3"/>
    <w:rsid w:val="00BC7F04"/>
    <w:rsid w:val="00BD30B3"/>
    <w:rsid w:val="00BD39EA"/>
    <w:rsid w:val="00BD4390"/>
    <w:rsid w:val="00BD458C"/>
    <w:rsid w:val="00BD45E8"/>
    <w:rsid w:val="00BD4AAF"/>
    <w:rsid w:val="00BD710D"/>
    <w:rsid w:val="00BE03D4"/>
    <w:rsid w:val="00BE0453"/>
    <w:rsid w:val="00BE16BF"/>
    <w:rsid w:val="00BE4298"/>
    <w:rsid w:val="00BE49BB"/>
    <w:rsid w:val="00BE4F62"/>
    <w:rsid w:val="00BE56EF"/>
    <w:rsid w:val="00BE6C21"/>
    <w:rsid w:val="00BE7183"/>
    <w:rsid w:val="00BE7D51"/>
    <w:rsid w:val="00BF126E"/>
    <w:rsid w:val="00BF168D"/>
    <w:rsid w:val="00BF1E62"/>
    <w:rsid w:val="00BF24B8"/>
    <w:rsid w:val="00BF5F6D"/>
    <w:rsid w:val="00BF7EB7"/>
    <w:rsid w:val="00C0137D"/>
    <w:rsid w:val="00C015EA"/>
    <w:rsid w:val="00C03EDA"/>
    <w:rsid w:val="00C0485C"/>
    <w:rsid w:val="00C0555C"/>
    <w:rsid w:val="00C05A5A"/>
    <w:rsid w:val="00C05BA2"/>
    <w:rsid w:val="00C06133"/>
    <w:rsid w:val="00C06CCD"/>
    <w:rsid w:val="00C07E05"/>
    <w:rsid w:val="00C12F79"/>
    <w:rsid w:val="00C13017"/>
    <w:rsid w:val="00C1368D"/>
    <w:rsid w:val="00C14744"/>
    <w:rsid w:val="00C17389"/>
    <w:rsid w:val="00C20A7C"/>
    <w:rsid w:val="00C21460"/>
    <w:rsid w:val="00C2260B"/>
    <w:rsid w:val="00C24613"/>
    <w:rsid w:val="00C24A8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456"/>
    <w:rsid w:val="00C44A0D"/>
    <w:rsid w:val="00C455E6"/>
    <w:rsid w:val="00C458A7"/>
    <w:rsid w:val="00C46AEE"/>
    <w:rsid w:val="00C4711D"/>
    <w:rsid w:val="00C477F5"/>
    <w:rsid w:val="00C47EE6"/>
    <w:rsid w:val="00C50066"/>
    <w:rsid w:val="00C5030E"/>
    <w:rsid w:val="00C52305"/>
    <w:rsid w:val="00C541B4"/>
    <w:rsid w:val="00C548CE"/>
    <w:rsid w:val="00C54C85"/>
    <w:rsid w:val="00C613B3"/>
    <w:rsid w:val="00C613D0"/>
    <w:rsid w:val="00C64516"/>
    <w:rsid w:val="00C64DD7"/>
    <w:rsid w:val="00C65B30"/>
    <w:rsid w:val="00C665EC"/>
    <w:rsid w:val="00C73BE7"/>
    <w:rsid w:val="00C7434F"/>
    <w:rsid w:val="00C75071"/>
    <w:rsid w:val="00C8228E"/>
    <w:rsid w:val="00C82407"/>
    <w:rsid w:val="00C8400F"/>
    <w:rsid w:val="00C845C0"/>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3BC3"/>
    <w:rsid w:val="00CC4673"/>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13EC"/>
    <w:rsid w:val="00CE2839"/>
    <w:rsid w:val="00CE2C5E"/>
    <w:rsid w:val="00CE388C"/>
    <w:rsid w:val="00CE3A42"/>
    <w:rsid w:val="00CE67BA"/>
    <w:rsid w:val="00CE6EF0"/>
    <w:rsid w:val="00CF0429"/>
    <w:rsid w:val="00CF11FF"/>
    <w:rsid w:val="00CF15CD"/>
    <w:rsid w:val="00CF32AE"/>
    <w:rsid w:val="00CF3C0E"/>
    <w:rsid w:val="00CF6E32"/>
    <w:rsid w:val="00CF752F"/>
    <w:rsid w:val="00D0001F"/>
    <w:rsid w:val="00D0043C"/>
    <w:rsid w:val="00D007CA"/>
    <w:rsid w:val="00D029EE"/>
    <w:rsid w:val="00D0317C"/>
    <w:rsid w:val="00D0334D"/>
    <w:rsid w:val="00D03778"/>
    <w:rsid w:val="00D04E89"/>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17189"/>
    <w:rsid w:val="00D20152"/>
    <w:rsid w:val="00D207BB"/>
    <w:rsid w:val="00D2312D"/>
    <w:rsid w:val="00D24850"/>
    <w:rsid w:val="00D24A35"/>
    <w:rsid w:val="00D25AF6"/>
    <w:rsid w:val="00D2615A"/>
    <w:rsid w:val="00D275D5"/>
    <w:rsid w:val="00D30ACE"/>
    <w:rsid w:val="00D317E6"/>
    <w:rsid w:val="00D31ADF"/>
    <w:rsid w:val="00D339F7"/>
    <w:rsid w:val="00D356B0"/>
    <w:rsid w:val="00D35FB0"/>
    <w:rsid w:val="00D37099"/>
    <w:rsid w:val="00D404DF"/>
    <w:rsid w:val="00D438DB"/>
    <w:rsid w:val="00D44309"/>
    <w:rsid w:val="00D46105"/>
    <w:rsid w:val="00D46471"/>
    <w:rsid w:val="00D527D8"/>
    <w:rsid w:val="00D52BC0"/>
    <w:rsid w:val="00D53249"/>
    <w:rsid w:val="00D532F8"/>
    <w:rsid w:val="00D53CE7"/>
    <w:rsid w:val="00D54D95"/>
    <w:rsid w:val="00D55FDC"/>
    <w:rsid w:val="00D56AD6"/>
    <w:rsid w:val="00D6245A"/>
    <w:rsid w:val="00D671BC"/>
    <w:rsid w:val="00D67994"/>
    <w:rsid w:val="00D67E63"/>
    <w:rsid w:val="00D7030E"/>
    <w:rsid w:val="00D70C0C"/>
    <w:rsid w:val="00D7489E"/>
    <w:rsid w:val="00D7529B"/>
    <w:rsid w:val="00D758BA"/>
    <w:rsid w:val="00D75FE4"/>
    <w:rsid w:val="00D77897"/>
    <w:rsid w:val="00D80018"/>
    <w:rsid w:val="00D80736"/>
    <w:rsid w:val="00D80BD9"/>
    <w:rsid w:val="00D81FC5"/>
    <w:rsid w:val="00D82F90"/>
    <w:rsid w:val="00D845E9"/>
    <w:rsid w:val="00D8536B"/>
    <w:rsid w:val="00D86803"/>
    <w:rsid w:val="00D86881"/>
    <w:rsid w:val="00D87D56"/>
    <w:rsid w:val="00D90722"/>
    <w:rsid w:val="00D919F7"/>
    <w:rsid w:val="00D924A8"/>
    <w:rsid w:val="00D93F35"/>
    <w:rsid w:val="00D94BEA"/>
    <w:rsid w:val="00D95C73"/>
    <w:rsid w:val="00D95C7E"/>
    <w:rsid w:val="00D976C5"/>
    <w:rsid w:val="00D97F02"/>
    <w:rsid w:val="00DA1288"/>
    <w:rsid w:val="00DA2662"/>
    <w:rsid w:val="00DA2F4E"/>
    <w:rsid w:val="00DA3971"/>
    <w:rsid w:val="00DA4636"/>
    <w:rsid w:val="00DA4CA6"/>
    <w:rsid w:val="00DA50EA"/>
    <w:rsid w:val="00DA51A5"/>
    <w:rsid w:val="00DA71DA"/>
    <w:rsid w:val="00DA7BD6"/>
    <w:rsid w:val="00DB0798"/>
    <w:rsid w:val="00DB1CDF"/>
    <w:rsid w:val="00DB25F2"/>
    <w:rsid w:val="00DB2EC3"/>
    <w:rsid w:val="00DB3B2D"/>
    <w:rsid w:val="00DB3B9F"/>
    <w:rsid w:val="00DB49FE"/>
    <w:rsid w:val="00DB76FE"/>
    <w:rsid w:val="00DB7A7A"/>
    <w:rsid w:val="00DC1915"/>
    <w:rsid w:val="00DC2080"/>
    <w:rsid w:val="00DC3879"/>
    <w:rsid w:val="00DC3C01"/>
    <w:rsid w:val="00DC53E0"/>
    <w:rsid w:val="00DC581F"/>
    <w:rsid w:val="00DC6789"/>
    <w:rsid w:val="00DC6AF2"/>
    <w:rsid w:val="00DC6B0D"/>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7E5"/>
    <w:rsid w:val="00DE4A49"/>
    <w:rsid w:val="00DE5F14"/>
    <w:rsid w:val="00DE66FD"/>
    <w:rsid w:val="00DE76AF"/>
    <w:rsid w:val="00DF0BAA"/>
    <w:rsid w:val="00DF1696"/>
    <w:rsid w:val="00DF20CA"/>
    <w:rsid w:val="00DF233B"/>
    <w:rsid w:val="00DF36B6"/>
    <w:rsid w:val="00DF40F0"/>
    <w:rsid w:val="00DF4D06"/>
    <w:rsid w:val="00DF5784"/>
    <w:rsid w:val="00DF58F7"/>
    <w:rsid w:val="00DF5D53"/>
    <w:rsid w:val="00DF6719"/>
    <w:rsid w:val="00DF67A8"/>
    <w:rsid w:val="00DF7D0B"/>
    <w:rsid w:val="00DF7E9F"/>
    <w:rsid w:val="00E00C7C"/>
    <w:rsid w:val="00E025C3"/>
    <w:rsid w:val="00E035A6"/>
    <w:rsid w:val="00E04CE4"/>
    <w:rsid w:val="00E060B7"/>
    <w:rsid w:val="00E06EAE"/>
    <w:rsid w:val="00E07CED"/>
    <w:rsid w:val="00E10CAC"/>
    <w:rsid w:val="00E11516"/>
    <w:rsid w:val="00E11EE5"/>
    <w:rsid w:val="00E1233F"/>
    <w:rsid w:val="00E1278A"/>
    <w:rsid w:val="00E12EA1"/>
    <w:rsid w:val="00E13AAF"/>
    <w:rsid w:val="00E14EEB"/>
    <w:rsid w:val="00E159F1"/>
    <w:rsid w:val="00E17230"/>
    <w:rsid w:val="00E20182"/>
    <w:rsid w:val="00E202CC"/>
    <w:rsid w:val="00E20B3D"/>
    <w:rsid w:val="00E20BD4"/>
    <w:rsid w:val="00E2191A"/>
    <w:rsid w:val="00E21B48"/>
    <w:rsid w:val="00E21DFE"/>
    <w:rsid w:val="00E220E0"/>
    <w:rsid w:val="00E245D4"/>
    <w:rsid w:val="00E246F7"/>
    <w:rsid w:val="00E24C78"/>
    <w:rsid w:val="00E2594F"/>
    <w:rsid w:val="00E26ED0"/>
    <w:rsid w:val="00E273A0"/>
    <w:rsid w:val="00E27A70"/>
    <w:rsid w:val="00E309B7"/>
    <w:rsid w:val="00E30FD1"/>
    <w:rsid w:val="00E31CDA"/>
    <w:rsid w:val="00E328EA"/>
    <w:rsid w:val="00E328F0"/>
    <w:rsid w:val="00E32D05"/>
    <w:rsid w:val="00E342BD"/>
    <w:rsid w:val="00E34A38"/>
    <w:rsid w:val="00E3525D"/>
    <w:rsid w:val="00E37B2C"/>
    <w:rsid w:val="00E418F8"/>
    <w:rsid w:val="00E4200B"/>
    <w:rsid w:val="00E45E33"/>
    <w:rsid w:val="00E465C3"/>
    <w:rsid w:val="00E4675E"/>
    <w:rsid w:val="00E5026E"/>
    <w:rsid w:val="00E50A9D"/>
    <w:rsid w:val="00E51AB7"/>
    <w:rsid w:val="00E52A69"/>
    <w:rsid w:val="00E57087"/>
    <w:rsid w:val="00E57976"/>
    <w:rsid w:val="00E60DD0"/>
    <w:rsid w:val="00E613F8"/>
    <w:rsid w:val="00E62146"/>
    <w:rsid w:val="00E62A1F"/>
    <w:rsid w:val="00E650AB"/>
    <w:rsid w:val="00E66592"/>
    <w:rsid w:val="00E66732"/>
    <w:rsid w:val="00E66835"/>
    <w:rsid w:val="00E67E42"/>
    <w:rsid w:val="00E70041"/>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2A8E"/>
    <w:rsid w:val="00E93038"/>
    <w:rsid w:val="00E9458F"/>
    <w:rsid w:val="00E947B9"/>
    <w:rsid w:val="00E9521C"/>
    <w:rsid w:val="00E955EF"/>
    <w:rsid w:val="00E97A21"/>
    <w:rsid w:val="00EA03EF"/>
    <w:rsid w:val="00EA04AE"/>
    <w:rsid w:val="00EA0C9F"/>
    <w:rsid w:val="00EA2739"/>
    <w:rsid w:val="00EA2DAF"/>
    <w:rsid w:val="00EA45E8"/>
    <w:rsid w:val="00EA5D7A"/>
    <w:rsid w:val="00EA61D5"/>
    <w:rsid w:val="00EA683B"/>
    <w:rsid w:val="00EB0E1A"/>
    <w:rsid w:val="00EB15D5"/>
    <w:rsid w:val="00EB1E91"/>
    <w:rsid w:val="00EB390E"/>
    <w:rsid w:val="00EB3F46"/>
    <w:rsid w:val="00EB5657"/>
    <w:rsid w:val="00EB5A86"/>
    <w:rsid w:val="00EB5D64"/>
    <w:rsid w:val="00EB75AD"/>
    <w:rsid w:val="00EC0293"/>
    <w:rsid w:val="00EC0FB9"/>
    <w:rsid w:val="00EC12FD"/>
    <w:rsid w:val="00EC18F4"/>
    <w:rsid w:val="00EC223D"/>
    <w:rsid w:val="00EC232B"/>
    <w:rsid w:val="00EC32D0"/>
    <w:rsid w:val="00EC3D48"/>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E7EBE"/>
    <w:rsid w:val="00EF0E0D"/>
    <w:rsid w:val="00EF1033"/>
    <w:rsid w:val="00EF1F75"/>
    <w:rsid w:val="00EF24D5"/>
    <w:rsid w:val="00EF3DF8"/>
    <w:rsid w:val="00EF4927"/>
    <w:rsid w:val="00EF49EB"/>
    <w:rsid w:val="00EF6063"/>
    <w:rsid w:val="00EF6C18"/>
    <w:rsid w:val="00EF7418"/>
    <w:rsid w:val="00F019BC"/>
    <w:rsid w:val="00F03071"/>
    <w:rsid w:val="00F04C9C"/>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317E"/>
    <w:rsid w:val="00F26F3E"/>
    <w:rsid w:val="00F26F8D"/>
    <w:rsid w:val="00F27398"/>
    <w:rsid w:val="00F31374"/>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0EC5"/>
    <w:rsid w:val="00F51030"/>
    <w:rsid w:val="00F5189E"/>
    <w:rsid w:val="00F51D57"/>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67FA2"/>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8676D"/>
    <w:rsid w:val="00F90556"/>
    <w:rsid w:val="00F9149C"/>
    <w:rsid w:val="00F919CD"/>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2D86"/>
    <w:rsid w:val="00FC38D6"/>
    <w:rsid w:val="00FC3B21"/>
    <w:rsid w:val="00FC423C"/>
    <w:rsid w:val="00FC435C"/>
    <w:rsid w:val="00FC4591"/>
    <w:rsid w:val="00FC4C84"/>
    <w:rsid w:val="00FC5C54"/>
    <w:rsid w:val="00FC5D61"/>
    <w:rsid w:val="00FC67D6"/>
    <w:rsid w:val="00FC6DB2"/>
    <w:rsid w:val="00FD07E3"/>
    <w:rsid w:val="00FD1919"/>
    <w:rsid w:val="00FD283C"/>
    <w:rsid w:val="00FD32C2"/>
    <w:rsid w:val="00FD36B6"/>
    <w:rsid w:val="00FD3E6E"/>
    <w:rsid w:val="00FD503F"/>
    <w:rsid w:val="00FD50BC"/>
    <w:rsid w:val="00FE1066"/>
    <w:rsid w:val="00FE1648"/>
    <w:rsid w:val="00FE1D8A"/>
    <w:rsid w:val="00FE2958"/>
    <w:rsid w:val="00FE3AC0"/>
    <w:rsid w:val="00FE4476"/>
    <w:rsid w:val="00FE59F5"/>
    <w:rsid w:val="00FE5BAE"/>
    <w:rsid w:val="00FE6A61"/>
    <w:rsid w:val="00FE6B22"/>
    <w:rsid w:val="00FE6C78"/>
    <w:rsid w:val="00FE7C14"/>
    <w:rsid w:val="00FE7F41"/>
    <w:rsid w:val="00FF02DF"/>
    <w:rsid w:val="00FF4D10"/>
    <w:rsid w:val="00FF5B50"/>
    <w:rsid w:val="00FF5C80"/>
    <w:rsid w:val="00FF65AB"/>
    <w:rsid w:val="00FF6EF8"/>
    <w:rsid w:val="011C4FD2"/>
    <w:rsid w:val="013435B5"/>
    <w:rsid w:val="014C4089"/>
    <w:rsid w:val="01712C59"/>
    <w:rsid w:val="019224BE"/>
    <w:rsid w:val="02454DC9"/>
    <w:rsid w:val="02910324"/>
    <w:rsid w:val="02C646E1"/>
    <w:rsid w:val="02DB4857"/>
    <w:rsid w:val="032B0404"/>
    <w:rsid w:val="033B2D46"/>
    <w:rsid w:val="03541CED"/>
    <w:rsid w:val="0367592F"/>
    <w:rsid w:val="036A11F0"/>
    <w:rsid w:val="037C1244"/>
    <w:rsid w:val="037D6E4A"/>
    <w:rsid w:val="040D6D19"/>
    <w:rsid w:val="044F220D"/>
    <w:rsid w:val="045A67DF"/>
    <w:rsid w:val="045D2E23"/>
    <w:rsid w:val="04612981"/>
    <w:rsid w:val="04617C78"/>
    <w:rsid w:val="0492290C"/>
    <w:rsid w:val="04973A9F"/>
    <w:rsid w:val="04EA03AB"/>
    <w:rsid w:val="04F548E2"/>
    <w:rsid w:val="053E6976"/>
    <w:rsid w:val="06862B05"/>
    <w:rsid w:val="06BB7499"/>
    <w:rsid w:val="072A4BA6"/>
    <w:rsid w:val="078C5B91"/>
    <w:rsid w:val="07CC0BA8"/>
    <w:rsid w:val="07FE6B2C"/>
    <w:rsid w:val="07FF48C8"/>
    <w:rsid w:val="081D7E86"/>
    <w:rsid w:val="08610CD7"/>
    <w:rsid w:val="088C034D"/>
    <w:rsid w:val="08AA0E57"/>
    <w:rsid w:val="08AC078D"/>
    <w:rsid w:val="08B421A7"/>
    <w:rsid w:val="09004AA0"/>
    <w:rsid w:val="09141EC9"/>
    <w:rsid w:val="091B157F"/>
    <w:rsid w:val="091F2D9D"/>
    <w:rsid w:val="092B7785"/>
    <w:rsid w:val="0948190B"/>
    <w:rsid w:val="0993037E"/>
    <w:rsid w:val="0A872E9B"/>
    <w:rsid w:val="0AA870F7"/>
    <w:rsid w:val="0AB319EF"/>
    <w:rsid w:val="0ABB32B3"/>
    <w:rsid w:val="0AC97E0D"/>
    <w:rsid w:val="0AF6127C"/>
    <w:rsid w:val="0B261DB7"/>
    <w:rsid w:val="0B7962BE"/>
    <w:rsid w:val="0C105DFF"/>
    <w:rsid w:val="0C684A5B"/>
    <w:rsid w:val="0CB5287D"/>
    <w:rsid w:val="0CBD4ADC"/>
    <w:rsid w:val="0CCA3020"/>
    <w:rsid w:val="0CFC317C"/>
    <w:rsid w:val="0D0447AC"/>
    <w:rsid w:val="0E4B0A3C"/>
    <w:rsid w:val="0E6275D1"/>
    <w:rsid w:val="0EB46E08"/>
    <w:rsid w:val="0EC64E38"/>
    <w:rsid w:val="0EEC1973"/>
    <w:rsid w:val="0EFF2FF5"/>
    <w:rsid w:val="0F264FE7"/>
    <w:rsid w:val="0F3946C8"/>
    <w:rsid w:val="0F621390"/>
    <w:rsid w:val="0FAC7325"/>
    <w:rsid w:val="0FE35EA0"/>
    <w:rsid w:val="0FEB079C"/>
    <w:rsid w:val="0FFA2218"/>
    <w:rsid w:val="10EF4D6C"/>
    <w:rsid w:val="11367AC0"/>
    <w:rsid w:val="11660D9C"/>
    <w:rsid w:val="1181633F"/>
    <w:rsid w:val="118D1664"/>
    <w:rsid w:val="119B58FC"/>
    <w:rsid w:val="11A101D6"/>
    <w:rsid w:val="11B06C17"/>
    <w:rsid w:val="11B83C77"/>
    <w:rsid w:val="120D6082"/>
    <w:rsid w:val="122711D7"/>
    <w:rsid w:val="1230330D"/>
    <w:rsid w:val="12B50068"/>
    <w:rsid w:val="12CA37D0"/>
    <w:rsid w:val="12DF21F8"/>
    <w:rsid w:val="12F23895"/>
    <w:rsid w:val="139D752A"/>
    <w:rsid w:val="13F526AA"/>
    <w:rsid w:val="142152D6"/>
    <w:rsid w:val="148A503B"/>
    <w:rsid w:val="14CB5D17"/>
    <w:rsid w:val="14DF5063"/>
    <w:rsid w:val="15373CF1"/>
    <w:rsid w:val="15880C4C"/>
    <w:rsid w:val="159F7C93"/>
    <w:rsid w:val="15AC7766"/>
    <w:rsid w:val="15AE4939"/>
    <w:rsid w:val="15CC719F"/>
    <w:rsid w:val="169B3D10"/>
    <w:rsid w:val="16A101B8"/>
    <w:rsid w:val="16A7036B"/>
    <w:rsid w:val="16AC344E"/>
    <w:rsid w:val="16C07B0A"/>
    <w:rsid w:val="16E56401"/>
    <w:rsid w:val="16ED0899"/>
    <w:rsid w:val="170532D4"/>
    <w:rsid w:val="172604C7"/>
    <w:rsid w:val="1731523F"/>
    <w:rsid w:val="17EA65DF"/>
    <w:rsid w:val="18003D99"/>
    <w:rsid w:val="18287181"/>
    <w:rsid w:val="18A12397"/>
    <w:rsid w:val="18FA065B"/>
    <w:rsid w:val="192D615C"/>
    <w:rsid w:val="193A5D5C"/>
    <w:rsid w:val="19553A9D"/>
    <w:rsid w:val="195F3547"/>
    <w:rsid w:val="19826FA5"/>
    <w:rsid w:val="19877AF0"/>
    <w:rsid w:val="19D40DC3"/>
    <w:rsid w:val="19E71F68"/>
    <w:rsid w:val="1A287223"/>
    <w:rsid w:val="1B393673"/>
    <w:rsid w:val="1C253B27"/>
    <w:rsid w:val="1C3243D6"/>
    <w:rsid w:val="1C5F6EAA"/>
    <w:rsid w:val="1C6F4FB4"/>
    <w:rsid w:val="1C733AAB"/>
    <w:rsid w:val="1CC45CDD"/>
    <w:rsid w:val="1CCB791D"/>
    <w:rsid w:val="1CD22F7D"/>
    <w:rsid w:val="1D1735EF"/>
    <w:rsid w:val="1D5F50B4"/>
    <w:rsid w:val="1D6F55A4"/>
    <w:rsid w:val="1D984610"/>
    <w:rsid w:val="1DEE0CA9"/>
    <w:rsid w:val="1DF20628"/>
    <w:rsid w:val="1E2D620F"/>
    <w:rsid w:val="1EBF50DB"/>
    <w:rsid w:val="1ED4425A"/>
    <w:rsid w:val="1EDC7F1C"/>
    <w:rsid w:val="1F011828"/>
    <w:rsid w:val="204C132C"/>
    <w:rsid w:val="20644D04"/>
    <w:rsid w:val="208042F0"/>
    <w:rsid w:val="20D64653"/>
    <w:rsid w:val="20EE1616"/>
    <w:rsid w:val="21120767"/>
    <w:rsid w:val="212E2504"/>
    <w:rsid w:val="214B0C07"/>
    <w:rsid w:val="216A67F7"/>
    <w:rsid w:val="21956DF1"/>
    <w:rsid w:val="219963E6"/>
    <w:rsid w:val="21D302A6"/>
    <w:rsid w:val="21EE0F80"/>
    <w:rsid w:val="226F1F8F"/>
    <w:rsid w:val="23BE3486"/>
    <w:rsid w:val="23CF4666"/>
    <w:rsid w:val="245231DD"/>
    <w:rsid w:val="246B066E"/>
    <w:rsid w:val="24A314E5"/>
    <w:rsid w:val="25315A92"/>
    <w:rsid w:val="25485B4A"/>
    <w:rsid w:val="257411BF"/>
    <w:rsid w:val="25864D84"/>
    <w:rsid w:val="25D668B0"/>
    <w:rsid w:val="260F1BFD"/>
    <w:rsid w:val="26421E20"/>
    <w:rsid w:val="264D746E"/>
    <w:rsid w:val="26875236"/>
    <w:rsid w:val="268B18B9"/>
    <w:rsid w:val="26942845"/>
    <w:rsid w:val="26A5092E"/>
    <w:rsid w:val="26AB55C9"/>
    <w:rsid w:val="26AB5818"/>
    <w:rsid w:val="26D24169"/>
    <w:rsid w:val="2782748C"/>
    <w:rsid w:val="27977369"/>
    <w:rsid w:val="27AB2C9A"/>
    <w:rsid w:val="28603F2A"/>
    <w:rsid w:val="287B7E23"/>
    <w:rsid w:val="28812A39"/>
    <w:rsid w:val="28943942"/>
    <w:rsid w:val="291C5BFE"/>
    <w:rsid w:val="29382A6B"/>
    <w:rsid w:val="2955110C"/>
    <w:rsid w:val="295A23FC"/>
    <w:rsid w:val="29626662"/>
    <w:rsid w:val="29816E87"/>
    <w:rsid w:val="29844387"/>
    <w:rsid w:val="2A3113C8"/>
    <w:rsid w:val="2A446C83"/>
    <w:rsid w:val="2A8617FE"/>
    <w:rsid w:val="2AB9225B"/>
    <w:rsid w:val="2B4464C7"/>
    <w:rsid w:val="2B590203"/>
    <w:rsid w:val="2B6B0F7F"/>
    <w:rsid w:val="2B794137"/>
    <w:rsid w:val="2B9B099A"/>
    <w:rsid w:val="2BD851A9"/>
    <w:rsid w:val="2C130D6C"/>
    <w:rsid w:val="2C225C6C"/>
    <w:rsid w:val="2C7831FE"/>
    <w:rsid w:val="2C8F0EA7"/>
    <w:rsid w:val="2CAD66F4"/>
    <w:rsid w:val="2D5609E8"/>
    <w:rsid w:val="2E0E10F4"/>
    <w:rsid w:val="2E1555FA"/>
    <w:rsid w:val="2E335172"/>
    <w:rsid w:val="2EF771DC"/>
    <w:rsid w:val="2F377CAB"/>
    <w:rsid w:val="2F7215C9"/>
    <w:rsid w:val="2F753598"/>
    <w:rsid w:val="2FB9486F"/>
    <w:rsid w:val="2FCC5E07"/>
    <w:rsid w:val="2FF545D5"/>
    <w:rsid w:val="30247B0A"/>
    <w:rsid w:val="30A11FD0"/>
    <w:rsid w:val="30BF785B"/>
    <w:rsid w:val="3146027D"/>
    <w:rsid w:val="31492649"/>
    <w:rsid w:val="317D7A4B"/>
    <w:rsid w:val="319966F0"/>
    <w:rsid w:val="32547EFE"/>
    <w:rsid w:val="32863A70"/>
    <w:rsid w:val="328E2276"/>
    <w:rsid w:val="3292346A"/>
    <w:rsid w:val="333F5C66"/>
    <w:rsid w:val="33526965"/>
    <w:rsid w:val="33825FA4"/>
    <w:rsid w:val="33DB773D"/>
    <w:rsid w:val="346A2735"/>
    <w:rsid w:val="34820207"/>
    <w:rsid w:val="348C4EDB"/>
    <w:rsid w:val="349F49A1"/>
    <w:rsid w:val="34AA5361"/>
    <w:rsid w:val="34D7553F"/>
    <w:rsid w:val="34F622B8"/>
    <w:rsid w:val="34FC3E0F"/>
    <w:rsid w:val="3536335A"/>
    <w:rsid w:val="357B6085"/>
    <w:rsid w:val="3600333F"/>
    <w:rsid w:val="360B0081"/>
    <w:rsid w:val="367C2ED7"/>
    <w:rsid w:val="36C53D8A"/>
    <w:rsid w:val="36DC78E2"/>
    <w:rsid w:val="370954F8"/>
    <w:rsid w:val="373C7A9C"/>
    <w:rsid w:val="37416EB1"/>
    <w:rsid w:val="37512FB8"/>
    <w:rsid w:val="376914BD"/>
    <w:rsid w:val="377D7D51"/>
    <w:rsid w:val="37CD35DE"/>
    <w:rsid w:val="38232AA8"/>
    <w:rsid w:val="3860608E"/>
    <w:rsid w:val="38845E24"/>
    <w:rsid w:val="389D3187"/>
    <w:rsid w:val="38B91C49"/>
    <w:rsid w:val="39150919"/>
    <w:rsid w:val="397D27F8"/>
    <w:rsid w:val="3984451E"/>
    <w:rsid w:val="39E958BC"/>
    <w:rsid w:val="39F84A46"/>
    <w:rsid w:val="3A366C90"/>
    <w:rsid w:val="3A50783A"/>
    <w:rsid w:val="3AD2717E"/>
    <w:rsid w:val="3AE8792A"/>
    <w:rsid w:val="3B4C6B7D"/>
    <w:rsid w:val="3B861D7B"/>
    <w:rsid w:val="3C580635"/>
    <w:rsid w:val="3C896EB4"/>
    <w:rsid w:val="3CC50F8A"/>
    <w:rsid w:val="3CF26E83"/>
    <w:rsid w:val="3D7E3DFD"/>
    <w:rsid w:val="3DDC1B4E"/>
    <w:rsid w:val="3DE624D4"/>
    <w:rsid w:val="3E684EAD"/>
    <w:rsid w:val="3E6E56EE"/>
    <w:rsid w:val="3E831250"/>
    <w:rsid w:val="3EAF2D25"/>
    <w:rsid w:val="3EBD538E"/>
    <w:rsid w:val="3EDE567D"/>
    <w:rsid w:val="3F221C11"/>
    <w:rsid w:val="3F3F3186"/>
    <w:rsid w:val="3F47037C"/>
    <w:rsid w:val="3FF57DD8"/>
    <w:rsid w:val="400A4965"/>
    <w:rsid w:val="40291362"/>
    <w:rsid w:val="40B35F3C"/>
    <w:rsid w:val="41492569"/>
    <w:rsid w:val="41B06152"/>
    <w:rsid w:val="41CF1774"/>
    <w:rsid w:val="41E166A7"/>
    <w:rsid w:val="421F0E45"/>
    <w:rsid w:val="42833F2C"/>
    <w:rsid w:val="42886C84"/>
    <w:rsid w:val="42A34959"/>
    <w:rsid w:val="42AB29D0"/>
    <w:rsid w:val="42D515E8"/>
    <w:rsid w:val="432568B4"/>
    <w:rsid w:val="436617E4"/>
    <w:rsid w:val="43C5363E"/>
    <w:rsid w:val="43F0266D"/>
    <w:rsid w:val="441B5933"/>
    <w:rsid w:val="444B7A53"/>
    <w:rsid w:val="44562207"/>
    <w:rsid w:val="44EF3FD1"/>
    <w:rsid w:val="452D5DB8"/>
    <w:rsid w:val="4534045C"/>
    <w:rsid w:val="45352A25"/>
    <w:rsid w:val="455E66B8"/>
    <w:rsid w:val="458F0387"/>
    <w:rsid w:val="460F3D97"/>
    <w:rsid w:val="46157C7E"/>
    <w:rsid w:val="461F17AF"/>
    <w:rsid w:val="46707362"/>
    <w:rsid w:val="469F3F08"/>
    <w:rsid w:val="46E53E93"/>
    <w:rsid w:val="46E6047B"/>
    <w:rsid w:val="47525687"/>
    <w:rsid w:val="47A32C15"/>
    <w:rsid w:val="47D33EDA"/>
    <w:rsid w:val="47F55DE4"/>
    <w:rsid w:val="47FC5A7C"/>
    <w:rsid w:val="48010ED3"/>
    <w:rsid w:val="48514DA6"/>
    <w:rsid w:val="48CA33FC"/>
    <w:rsid w:val="48F31859"/>
    <w:rsid w:val="49316623"/>
    <w:rsid w:val="494372C0"/>
    <w:rsid w:val="495532BE"/>
    <w:rsid w:val="4A091CE5"/>
    <w:rsid w:val="4A99106D"/>
    <w:rsid w:val="4AC839B1"/>
    <w:rsid w:val="4B8A23E0"/>
    <w:rsid w:val="4BCE2162"/>
    <w:rsid w:val="4BE909E0"/>
    <w:rsid w:val="4BEF1B80"/>
    <w:rsid w:val="4BF7143F"/>
    <w:rsid w:val="4BFF39E8"/>
    <w:rsid w:val="4C0105D1"/>
    <w:rsid w:val="4C091002"/>
    <w:rsid w:val="4C290139"/>
    <w:rsid w:val="4C4C1669"/>
    <w:rsid w:val="4C7F6D10"/>
    <w:rsid w:val="4CC2524A"/>
    <w:rsid w:val="4CFE5DCC"/>
    <w:rsid w:val="4D293DEA"/>
    <w:rsid w:val="4DD83BCC"/>
    <w:rsid w:val="4DDE1EAC"/>
    <w:rsid w:val="4DFF1E22"/>
    <w:rsid w:val="4E5D3917"/>
    <w:rsid w:val="4EFB3336"/>
    <w:rsid w:val="4F1C3489"/>
    <w:rsid w:val="4F5C41F1"/>
    <w:rsid w:val="4F9F02E7"/>
    <w:rsid w:val="50195C4C"/>
    <w:rsid w:val="51326756"/>
    <w:rsid w:val="51484888"/>
    <w:rsid w:val="518976D2"/>
    <w:rsid w:val="52221C4B"/>
    <w:rsid w:val="522E5111"/>
    <w:rsid w:val="525608BB"/>
    <w:rsid w:val="52935EE2"/>
    <w:rsid w:val="52A674AC"/>
    <w:rsid w:val="52B5636A"/>
    <w:rsid w:val="52C84ED8"/>
    <w:rsid w:val="53072D70"/>
    <w:rsid w:val="53594140"/>
    <w:rsid w:val="53F01D34"/>
    <w:rsid w:val="54166BC3"/>
    <w:rsid w:val="541A3E14"/>
    <w:rsid w:val="546D3EBE"/>
    <w:rsid w:val="547E7F44"/>
    <w:rsid w:val="54955781"/>
    <w:rsid w:val="54A203AA"/>
    <w:rsid w:val="54B61F5D"/>
    <w:rsid w:val="551F5FB4"/>
    <w:rsid w:val="55AA1478"/>
    <w:rsid w:val="55CC2F32"/>
    <w:rsid w:val="55D15107"/>
    <w:rsid w:val="562531EA"/>
    <w:rsid w:val="56497D05"/>
    <w:rsid w:val="5651762B"/>
    <w:rsid w:val="568630E0"/>
    <w:rsid w:val="56CC3A96"/>
    <w:rsid w:val="57065AF4"/>
    <w:rsid w:val="570A56DD"/>
    <w:rsid w:val="57730905"/>
    <w:rsid w:val="57783371"/>
    <w:rsid w:val="57C70B78"/>
    <w:rsid w:val="58457272"/>
    <w:rsid w:val="58900246"/>
    <w:rsid w:val="58A14A23"/>
    <w:rsid w:val="58A609DF"/>
    <w:rsid w:val="58CB7923"/>
    <w:rsid w:val="58FF660A"/>
    <w:rsid w:val="594352B9"/>
    <w:rsid w:val="599810F5"/>
    <w:rsid w:val="59A1101C"/>
    <w:rsid w:val="59AF248B"/>
    <w:rsid w:val="59F111B9"/>
    <w:rsid w:val="59F94937"/>
    <w:rsid w:val="5A1455BF"/>
    <w:rsid w:val="5A15432B"/>
    <w:rsid w:val="5A1D1EFC"/>
    <w:rsid w:val="5AC95DC1"/>
    <w:rsid w:val="5AD26541"/>
    <w:rsid w:val="5ADA6DD0"/>
    <w:rsid w:val="5ADE3149"/>
    <w:rsid w:val="5AEF067F"/>
    <w:rsid w:val="5B6F4A8B"/>
    <w:rsid w:val="5B9444F1"/>
    <w:rsid w:val="5BC052E6"/>
    <w:rsid w:val="5BF85296"/>
    <w:rsid w:val="5C024D2D"/>
    <w:rsid w:val="5C2E04A2"/>
    <w:rsid w:val="5C4972A2"/>
    <w:rsid w:val="5C8639DD"/>
    <w:rsid w:val="5CD458C9"/>
    <w:rsid w:val="5CD901EE"/>
    <w:rsid w:val="5CF05F2A"/>
    <w:rsid w:val="5CFE4A24"/>
    <w:rsid w:val="5D054DA9"/>
    <w:rsid w:val="5D1C2035"/>
    <w:rsid w:val="5D2D6E3D"/>
    <w:rsid w:val="5D8F1BE6"/>
    <w:rsid w:val="5DA724B1"/>
    <w:rsid w:val="5DAA5AF3"/>
    <w:rsid w:val="5F356FD4"/>
    <w:rsid w:val="5F7D08E4"/>
    <w:rsid w:val="5FAB005C"/>
    <w:rsid w:val="5FE07B70"/>
    <w:rsid w:val="603879BD"/>
    <w:rsid w:val="606B6E69"/>
    <w:rsid w:val="607034DD"/>
    <w:rsid w:val="60912DAE"/>
    <w:rsid w:val="60944A0B"/>
    <w:rsid w:val="60AC578B"/>
    <w:rsid w:val="60D41974"/>
    <w:rsid w:val="612D083D"/>
    <w:rsid w:val="6154366A"/>
    <w:rsid w:val="617200A8"/>
    <w:rsid w:val="61B85B0B"/>
    <w:rsid w:val="61CD059E"/>
    <w:rsid w:val="61EB0605"/>
    <w:rsid w:val="627C0528"/>
    <w:rsid w:val="6320666B"/>
    <w:rsid w:val="633E7ADE"/>
    <w:rsid w:val="63433366"/>
    <w:rsid w:val="63460DBC"/>
    <w:rsid w:val="63891D25"/>
    <w:rsid w:val="63A54A3C"/>
    <w:rsid w:val="63A66D11"/>
    <w:rsid w:val="63A92490"/>
    <w:rsid w:val="63AE49E0"/>
    <w:rsid w:val="63D63827"/>
    <w:rsid w:val="63F10251"/>
    <w:rsid w:val="641674F2"/>
    <w:rsid w:val="643B2761"/>
    <w:rsid w:val="64C51278"/>
    <w:rsid w:val="64CA5FFF"/>
    <w:rsid w:val="64FD5E67"/>
    <w:rsid w:val="651973B2"/>
    <w:rsid w:val="65546448"/>
    <w:rsid w:val="65711670"/>
    <w:rsid w:val="65AE7E08"/>
    <w:rsid w:val="65C63372"/>
    <w:rsid w:val="662C60B7"/>
    <w:rsid w:val="66613222"/>
    <w:rsid w:val="668C29E2"/>
    <w:rsid w:val="668F6486"/>
    <w:rsid w:val="670575BF"/>
    <w:rsid w:val="672A7AB8"/>
    <w:rsid w:val="67F23C6D"/>
    <w:rsid w:val="68D61B92"/>
    <w:rsid w:val="68E33569"/>
    <w:rsid w:val="694F3806"/>
    <w:rsid w:val="696772FB"/>
    <w:rsid w:val="69E4001D"/>
    <w:rsid w:val="6A095614"/>
    <w:rsid w:val="6A2B4C32"/>
    <w:rsid w:val="6A7436A4"/>
    <w:rsid w:val="6AEA3DA1"/>
    <w:rsid w:val="6AF07B7F"/>
    <w:rsid w:val="6AFF871D"/>
    <w:rsid w:val="6B2F1B41"/>
    <w:rsid w:val="6B427B77"/>
    <w:rsid w:val="6B4E2D3E"/>
    <w:rsid w:val="6B7462C0"/>
    <w:rsid w:val="6BD96A17"/>
    <w:rsid w:val="6C091100"/>
    <w:rsid w:val="6C1668B8"/>
    <w:rsid w:val="6C336341"/>
    <w:rsid w:val="6C530C66"/>
    <w:rsid w:val="6C8C3392"/>
    <w:rsid w:val="6E550CC4"/>
    <w:rsid w:val="6E943BB5"/>
    <w:rsid w:val="6EBC13EB"/>
    <w:rsid w:val="6EBE3907"/>
    <w:rsid w:val="6EC71ECE"/>
    <w:rsid w:val="6F6F4C26"/>
    <w:rsid w:val="6FEF16BE"/>
    <w:rsid w:val="70512AD7"/>
    <w:rsid w:val="706B00BB"/>
    <w:rsid w:val="70B43760"/>
    <w:rsid w:val="70DE0D35"/>
    <w:rsid w:val="70DF14BB"/>
    <w:rsid w:val="70EB475C"/>
    <w:rsid w:val="70F01005"/>
    <w:rsid w:val="71397DCB"/>
    <w:rsid w:val="71687CAF"/>
    <w:rsid w:val="71AF12E6"/>
    <w:rsid w:val="71C20069"/>
    <w:rsid w:val="727A15DA"/>
    <w:rsid w:val="72B01989"/>
    <w:rsid w:val="72CA1615"/>
    <w:rsid w:val="72DA63FB"/>
    <w:rsid w:val="730C7D63"/>
    <w:rsid w:val="73372296"/>
    <w:rsid w:val="73584999"/>
    <w:rsid w:val="7379711C"/>
    <w:rsid w:val="738A4F1A"/>
    <w:rsid w:val="741C0922"/>
    <w:rsid w:val="7449069D"/>
    <w:rsid w:val="74573835"/>
    <w:rsid w:val="75056005"/>
    <w:rsid w:val="758B5B61"/>
    <w:rsid w:val="75AE44DB"/>
    <w:rsid w:val="75B46B29"/>
    <w:rsid w:val="75E7504D"/>
    <w:rsid w:val="75EF53B2"/>
    <w:rsid w:val="76037EB7"/>
    <w:rsid w:val="760B7E8B"/>
    <w:rsid w:val="76B10E65"/>
    <w:rsid w:val="76D01A14"/>
    <w:rsid w:val="76E653E4"/>
    <w:rsid w:val="776641EA"/>
    <w:rsid w:val="77730B47"/>
    <w:rsid w:val="77A3153F"/>
    <w:rsid w:val="77B238DE"/>
    <w:rsid w:val="77E17612"/>
    <w:rsid w:val="77F85EB7"/>
    <w:rsid w:val="786372CE"/>
    <w:rsid w:val="78697573"/>
    <w:rsid w:val="78D003F8"/>
    <w:rsid w:val="792620AF"/>
    <w:rsid w:val="79522E9F"/>
    <w:rsid w:val="79BF4A66"/>
    <w:rsid w:val="79E96674"/>
    <w:rsid w:val="79EA6FF3"/>
    <w:rsid w:val="79FF6F80"/>
    <w:rsid w:val="7A104A82"/>
    <w:rsid w:val="7A350790"/>
    <w:rsid w:val="7A380852"/>
    <w:rsid w:val="7A8D2380"/>
    <w:rsid w:val="7AA76A4A"/>
    <w:rsid w:val="7AC23E20"/>
    <w:rsid w:val="7AE456E6"/>
    <w:rsid w:val="7C015992"/>
    <w:rsid w:val="7C4451ED"/>
    <w:rsid w:val="7CE92D02"/>
    <w:rsid w:val="7D43447E"/>
    <w:rsid w:val="7D893333"/>
    <w:rsid w:val="7DB36601"/>
    <w:rsid w:val="7DEC3229"/>
    <w:rsid w:val="7E0278BC"/>
    <w:rsid w:val="7E137BFD"/>
    <w:rsid w:val="7E144D2B"/>
    <w:rsid w:val="7E400A43"/>
    <w:rsid w:val="7E4159BB"/>
    <w:rsid w:val="7E6873EC"/>
    <w:rsid w:val="7ECB7D29"/>
    <w:rsid w:val="7ED70E56"/>
    <w:rsid w:val="7F202C72"/>
    <w:rsid w:val="7F9109CF"/>
    <w:rsid w:val="7FA53D28"/>
    <w:rsid w:val="7FAF54D3"/>
    <w:rsid w:val="7FB37EA5"/>
    <w:rsid w:val="CEBEC661"/>
    <w:rsid w:val="FDFFC6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50"/>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1"/>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next w:val="1"/>
    <w:link w:val="52"/>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next w:val="1"/>
    <w:link w:val="53"/>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next w:val="1"/>
    <w:link w:val="5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5"/>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56"/>
    <w:unhideWhenUsed/>
    <w:qFormat/>
    <w:uiPriority w:val="0"/>
    <w:pPr>
      <w:keepNext/>
      <w:keepLines/>
      <w:spacing w:before="240" w:after="64" w:line="320" w:lineRule="auto"/>
      <w:outlineLvl w:val="6"/>
    </w:pPr>
    <w:rPr>
      <w:b/>
      <w:bCs/>
      <w:szCs w:val="24"/>
    </w:rPr>
  </w:style>
  <w:style w:type="paragraph" w:styleId="9">
    <w:name w:val="heading 8"/>
    <w:basedOn w:val="1"/>
    <w:next w:val="1"/>
    <w:link w:val="5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58"/>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3"/>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4"/>
    <w:unhideWhenUsed/>
    <w:qFormat/>
    <w:uiPriority w:val="0"/>
    <w:rPr>
      <w:rFonts w:ascii="Heiti SC Light" w:eastAsia="Heiti SC Light"/>
      <w:szCs w:val="24"/>
    </w:rPr>
  </w:style>
  <w:style w:type="paragraph" w:styleId="17">
    <w:name w:val="annotation text"/>
    <w:basedOn w:val="1"/>
    <w:link w:val="59"/>
    <w:unhideWhenUsed/>
    <w:qFormat/>
    <w:uiPriority w:val="99"/>
    <w:pPr>
      <w:spacing w:line="360" w:lineRule="auto"/>
      <w:ind w:firstLine="200" w:firstLineChars="200"/>
      <w:jc w:val="left"/>
    </w:pPr>
  </w:style>
  <w:style w:type="paragraph" w:styleId="18">
    <w:name w:val="Body Text"/>
    <w:basedOn w:val="1"/>
    <w:next w:val="19"/>
    <w:link w:val="61"/>
    <w:qFormat/>
    <w:uiPriority w:val="0"/>
    <w:pPr>
      <w:spacing w:after="120"/>
    </w:pPr>
    <w:rPr>
      <w:rFonts w:ascii="Times New Roman" w:hAnsi="Times New Roman" w:cs="Times New Roman"/>
      <w:szCs w:val="20"/>
    </w:rPr>
  </w:style>
  <w:style w:type="paragraph" w:styleId="19">
    <w:name w:val="Body Text 2"/>
    <w:basedOn w:val="1"/>
    <w:link w:val="73"/>
    <w:qFormat/>
    <w:uiPriority w:val="0"/>
    <w:pPr>
      <w:spacing w:after="120" w:line="480" w:lineRule="auto"/>
    </w:pPr>
    <w:rPr>
      <w:rFonts w:ascii="Times New Roman" w:hAnsi="Times New Roman" w:cs="Times New Roman"/>
      <w:szCs w:val="20"/>
    </w:rPr>
  </w:style>
  <w:style w:type="paragraph" w:styleId="20">
    <w:name w:val="Body Text Indent"/>
    <w:basedOn w:val="1"/>
    <w:link w:val="65"/>
    <w:qFormat/>
    <w:uiPriority w:val="99"/>
    <w:pPr>
      <w:spacing w:after="120"/>
      <w:ind w:left="420" w:leftChars="200"/>
    </w:pPr>
    <w:rPr>
      <w:rFonts w:ascii="Times New Roman" w:hAnsi="Times New Roman" w:cs="Times New Roman"/>
      <w:szCs w:val="24"/>
    </w:rPr>
  </w:style>
  <w:style w:type="paragraph" w:styleId="21">
    <w:name w:val="toc 5"/>
    <w:basedOn w:val="1"/>
    <w:next w:val="1"/>
    <w:unhideWhenUsed/>
    <w:qFormat/>
    <w:uiPriority w:val="39"/>
    <w:pPr>
      <w:ind w:left="960"/>
      <w:jc w:val="left"/>
    </w:pPr>
    <w:rPr>
      <w:sz w:val="18"/>
      <w:szCs w:val="18"/>
    </w:rPr>
  </w:style>
  <w:style w:type="paragraph" w:styleId="22">
    <w:name w:val="toc 3"/>
    <w:basedOn w:val="1"/>
    <w:next w:val="1"/>
    <w:unhideWhenUsed/>
    <w:qFormat/>
    <w:uiPriority w:val="39"/>
    <w:pPr>
      <w:ind w:left="480"/>
      <w:jc w:val="left"/>
    </w:pPr>
    <w:rPr>
      <w:i/>
      <w:sz w:val="22"/>
    </w:rPr>
  </w:style>
  <w:style w:type="paragraph" w:styleId="23">
    <w:name w:val="Plain Text"/>
    <w:basedOn w:val="1"/>
    <w:link w:val="66"/>
    <w:qFormat/>
    <w:uiPriority w:val="0"/>
    <w:pPr>
      <w:widowControl/>
      <w:adjustRightInd w:val="0"/>
      <w:snapToGrid w:val="0"/>
      <w:spacing w:line="360" w:lineRule="auto"/>
      <w:jc w:val="left"/>
    </w:pPr>
    <w:rPr>
      <w:rFonts w:ascii="宋体" w:hAnsi="Courier New"/>
      <w:szCs w:val="20"/>
    </w:rPr>
  </w:style>
  <w:style w:type="paragraph" w:styleId="24">
    <w:name w:val="toc 8"/>
    <w:basedOn w:val="1"/>
    <w:next w:val="1"/>
    <w:unhideWhenUsed/>
    <w:qFormat/>
    <w:uiPriority w:val="39"/>
    <w:pPr>
      <w:ind w:left="1680"/>
      <w:jc w:val="left"/>
    </w:pPr>
    <w:rPr>
      <w:sz w:val="18"/>
      <w:szCs w:val="18"/>
    </w:rPr>
  </w:style>
  <w:style w:type="paragraph" w:styleId="25">
    <w:name w:val="Date"/>
    <w:basedOn w:val="1"/>
    <w:next w:val="1"/>
    <w:link w:val="67"/>
    <w:unhideWhenUsed/>
    <w:qFormat/>
    <w:uiPriority w:val="0"/>
    <w:pPr>
      <w:ind w:left="100" w:leftChars="2500"/>
    </w:pPr>
  </w:style>
  <w:style w:type="paragraph" w:styleId="26">
    <w:name w:val="Body Text Indent 2"/>
    <w:basedOn w:val="1"/>
    <w:link w:val="68"/>
    <w:unhideWhenUsed/>
    <w:qFormat/>
    <w:uiPriority w:val="0"/>
    <w:pPr>
      <w:spacing w:after="120" w:line="480" w:lineRule="auto"/>
      <w:ind w:left="420" w:leftChars="200"/>
    </w:pPr>
    <w:rPr>
      <w:rFonts w:ascii="Calibri" w:hAnsi="Calibri"/>
    </w:rPr>
  </w:style>
  <w:style w:type="paragraph" w:styleId="27">
    <w:name w:val="Balloon Text"/>
    <w:basedOn w:val="1"/>
    <w:link w:val="69"/>
    <w:unhideWhenUsed/>
    <w:qFormat/>
    <w:uiPriority w:val="99"/>
    <w:rPr>
      <w:sz w:val="18"/>
      <w:szCs w:val="18"/>
    </w:rPr>
  </w:style>
  <w:style w:type="paragraph" w:styleId="28">
    <w:name w:val="footer"/>
    <w:basedOn w:val="1"/>
    <w:link w:val="70"/>
    <w:qFormat/>
    <w:uiPriority w:val="0"/>
    <w:pPr>
      <w:tabs>
        <w:tab w:val="center" w:pos="4153"/>
        <w:tab w:val="right" w:pos="8306"/>
      </w:tabs>
      <w:snapToGrid w:val="0"/>
      <w:jc w:val="left"/>
    </w:pPr>
    <w:rPr>
      <w:rFonts w:ascii="Times New Roman" w:hAnsi="Times New Roman" w:cs="Times New Roman"/>
      <w:sz w:val="18"/>
      <w:szCs w:val="20"/>
    </w:rPr>
  </w:style>
  <w:style w:type="paragraph" w:styleId="29">
    <w:name w:val="header"/>
    <w:basedOn w:val="1"/>
    <w:link w:val="7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30">
    <w:name w:val="toc 1"/>
    <w:basedOn w:val="1"/>
    <w:next w:val="1"/>
    <w:unhideWhenUsed/>
    <w:qFormat/>
    <w:uiPriority w:val="39"/>
    <w:pPr>
      <w:spacing w:before="120"/>
      <w:jc w:val="left"/>
    </w:pPr>
    <w:rPr>
      <w:b/>
      <w:caps/>
      <w:sz w:val="22"/>
    </w:rPr>
  </w:style>
  <w:style w:type="paragraph" w:styleId="31">
    <w:name w:val="toc 4"/>
    <w:basedOn w:val="1"/>
    <w:next w:val="1"/>
    <w:unhideWhenUsed/>
    <w:qFormat/>
    <w:uiPriority w:val="39"/>
    <w:pPr>
      <w:ind w:left="720"/>
      <w:jc w:val="left"/>
    </w:pPr>
    <w:rPr>
      <w:sz w:val="18"/>
      <w:szCs w:val="18"/>
    </w:rPr>
  </w:style>
  <w:style w:type="paragraph" w:styleId="32">
    <w:name w:val="toc 6"/>
    <w:basedOn w:val="1"/>
    <w:next w:val="1"/>
    <w:unhideWhenUsed/>
    <w:qFormat/>
    <w:uiPriority w:val="39"/>
    <w:pPr>
      <w:ind w:left="1200"/>
      <w:jc w:val="left"/>
    </w:pPr>
    <w:rPr>
      <w:sz w:val="18"/>
      <w:szCs w:val="18"/>
    </w:rPr>
  </w:style>
  <w:style w:type="paragraph" w:styleId="33">
    <w:name w:val="Body Text Indent 3"/>
    <w:basedOn w:val="1"/>
    <w:link w:val="72"/>
    <w:unhideWhenUsed/>
    <w:qFormat/>
    <w:uiPriority w:val="99"/>
    <w:pPr>
      <w:spacing w:after="120" w:line="360" w:lineRule="auto"/>
      <w:ind w:left="420" w:leftChars="200" w:firstLine="200" w:firstLineChars="200"/>
    </w:pPr>
    <w:rPr>
      <w:sz w:val="16"/>
      <w:szCs w:val="16"/>
    </w:rPr>
  </w:style>
  <w:style w:type="paragraph" w:styleId="34">
    <w:name w:val="table of figures"/>
    <w:basedOn w:val="1"/>
    <w:next w:val="1"/>
    <w:qFormat/>
    <w:uiPriority w:val="0"/>
    <w:pPr>
      <w:spacing w:line="360" w:lineRule="auto"/>
      <w:ind w:left="840" w:leftChars="200" w:hanging="420" w:hangingChars="200"/>
    </w:pPr>
    <w:rPr>
      <w:rFonts w:ascii="Times New Roman" w:hAnsi="Times New Roman" w:cs="Times New Roman"/>
      <w:szCs w:val="20"/>
    </w:rPr>
  </w:style>
  <w:style w:type="paragraph" w:styleId="35">
    <w:name w:val="toc 2"/>
    <w:basedOn w:val="1"/>
    <w:next w:val="1"/>
    <w:unhideWhenUsed/>
    <w:qFormat/>
    <w:uiPriority w:val="39"/>
    <w:pPr>
      <w:ind w:left="240"/>
      <w:jc w:val="left"/>
    </w:pPr>
    <w:rPr>
      <w:sz w:val="22"/>
    </w:rPr>
  </w:style>
  <w:style w:type="paragraph" w:styleId="36">
    <w:name w:val="toc 9"/>
    <w:basedOn w:val="1"/>
    <w:next w:val="1"/>
    <w:unhideWhenUsed/>
    <w:qFormat/>
    <w:uiPriority w:val="39"/>
    <w:pPr>
      <w:ind w:left="1920"/>
      <w:jc w:val="left"/>
    </w:pPr>
    <w:rPr>
      <w:sz w:val="18"/>
      <w:szCs w:val="18"/>
    </w:rPr>
  </w:style>
  <w:style w:type="paragraph" w:styleId="37">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5"/>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next w:val="1"/>
    <w:qFormat/>
    <w:uiPriority w:val="0"/>
    <w:pPr>
      <w:jc w:val="center"/>
    </w:pPr>
    <w:rPr>
      <w:rFonts w:ascii="仿宋_GB2312" w:hAnsi="Times New Roman" w:eastAsia="仿宋_GB2312" w:cs="Times New Roman"/>
      <w:b/>
      <w:bCs/>
      <w:sz w:val="28"/>
      <w:szCs w:val="20"/>
    </w:rPr>
  </w:style>
  <w:style w:type="paragraph" w:styleId="40">
    <w:name w:val="annotation subject"/>
    <w:basedOn w:val="17"/>
    <w:next w:val="17"/>
    <w:link w:val="60"/>
    <w:unhideWhenUsed/>
    <w:qFormat/>
    <w:uiPriority w:val="99"/>
    <w:rPr>
      <w:b/>
      <w:bCs/>
    </w:rPr>
  </w:style>
  <w:style w:type="paragraph" w:styleId="41">
    <w:name w:val="Body Text First Indent"/>
    <w:basedOn w:val="18"/>
    <w:next w:val="1"/>
    <w:link w:val="62"/>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basedOn w:val="44"/>
    <w:qFormat/>
    <w:uiPriority w:val="20"/>
    <w:rPr>
      <w:color w:val="F73131"/>
    </w:rPr>
  </w:style>
  <w:style w:type="character" w:styleId="48">
    <w:name w:val="Hyperlink"/>
    <w:basedOn w:val="44"/>
    <w:unhideWhenUsed/>
    <w:qFormat/>
    <w:uiPriority w:val="99"/>
    <w:rPr>
      <w:color w:val="0000FF" w:themeColor="hyperlink"/>
      <w:u w:val="single"/>
    </w:rPr>
  </w:style>
  <w:style w:type="character" w:styleId="49">
    <w:name w:val="annotation reference"/>
    <w:basedOn w:val="44"/>
    <w:unhideWhenUsed/>
    <w:qFormat/>
    <w:uiPriority w:val="99"/>
    <w:rPr>
      <w:sz w:val="21"/>
      <w:szCs w:val="21"/>
    </w:rPr>
  </w:style>
  <w:style w:type="character" w:customStyle="1" w:styleId="50">
    <w:name w:val="标题 1 字符"/>
    <w:basedOn w:val="44"/>
    <w:link w:val="2"/>
    <w:qFormat/>
    <w:uiPriority w:val="0"/>
    <w:rPr>
      <w:rFonts w:asciiTheme="minorHAnsi" w:hAnsiTheme="minorHAnsi" w:cstheme="minorBidi"/>
      <w:b/>
      <w:bCs/>
      <w:kern w:val="44"/>
      <w:sz w:val="44"/>
      <w:szCs w:val="44"/>
    </w:rPr>
  </w:style>
  <w:style w:type="character" w:customStyle="1" w:styleId="51">
    <w:name w:val="标题 2 字符"/>
    <w:basedOn w:val="44"/>
    <w:link w:val="3"/>
    <w:qFormat/>
    <w:uiPriority w:val="0"/>
    <w:rPr>
      <w:rFonts w:asciiTheme="majorHAnsi" w:hAnsiTheme="majorHAnsi" w:eastAsiaTheme="majorEastAsia" w:cstheme="majorBidi"/>
      <w:b/>
      <w:bCs/>
      <w:kern w:val="2"/>
      <w:sz w:val="32"/>
      <w:szCs w:val="32"/>
    </w:rPr>
  </w:style>
  <w:style w:type="character" w:customStyle="1" w:styleId="52">
    <w:name w:val="标题 3 字符"/>
    <w:basedOn w:val="44"/>
    <w:link w:val="4"/>
    <w:qFormat/>
    <w:uiPriority w:val="0"/>
    <w:rPr>
      <w:rFonts w:eastAsia="宋体"/>
      <w:b/>
      <w:bCs/>
      <w:kern w:val="2"/>
      <w:sz w:val="32"/>
      <w:szCs w:val="32"/>
    </w:rPr>
  </w:style>
  <w:style w:type="character" w:customStyle="1" w:styleId="53">
    <w:name w:val="标题 4 字符"/>
    <w:basedOn w:val="44"/>
    <w:link w:val="5"/>
    <w:qFormat/>
    <w:uiPriority w:val="0"/>
    <w:rPr>
      <w:rFonts w:asciiTheme="majorHAnsi" w:hAnsiTheme="majorHAnsi" w:eastAsiaTheme="majorEastAsia" w:cstheme="majorBidi"/>
      <w:b/>
      <w:bCs/>
      <w:kern w:val="2"/>
      <w:sz w:val="28"/>
      <w:szCs w:val="28"/>
    </w:rPr>
  </w:style>
  <w:style w:type="character" w:customStyle="1" w:styleId="54">
    <w:name w:val="标题 5 字符"/>
    <w:basedOn w:val="44"/>
    <w:link w:val="6"/>
    <w:qFormat/>
    <w:uiPriority w:val="9"/>
    <w:rPr>
      <w:rFonts w:eastAsia="宋体"/>
      <w:b/>
      <w:bCs/>
      <w:kern w:val="2"/>
      <w:sz w:val="28"/>
      <w:szCs w:val="28"/>
    </w:rPr>
  </w:style>
  <w:style w:type="character" w:customStyle="1" w:styleId="55">
    <w:name w:val="标题 6 字符"/>
    <w:basedOn w:val="44"/>
    <w:link w:val="7"/>
    <w:qFormat/>
    <w:uiPriority w:val="0"/>
    <w:rPr>
      <w:rFonts w:asciiTheme="majorHAnsi" w:hAnsiTheme="majorHAnsi" w:eastAsiaTheme="majorEastAsia" w:cstheme="majorBidi"/>
      <w:b/>
      <w:bCs/>
      <w:kern w:val="2"/>
      <w:sz w:val="24"/>
      <w:szCs w:val="24"/>
    </w:rPr>
  </w:style>
  <w:style w:type="character" w:customStyle="1" w:styleId="56">
    <w:name w:val="标题 7 字符"/>
    <w:basedOn w:val="44"/>
    <w:link w:val="8"/>
    <w:qFormat/>
    <w:uiPriority w:val="9"/>
    <w:rPr>
      <w:rFonts w:eastAsia="宋体"/>
      <w:b/>
      <w:bCs/>
      <w:kern w:val="2"/>
      <w:sz w:val="24"/>
      <w:szCs w:val="24"/>
    </w:rPr>
  </w:style>
  <w:style w:type="character" w:customStyle="1" w:styleId="57">
    <w:name w:val="标题 8 字符"/>
    <w:basedOn w:val="44"/>
    <w:link w:val="9"/>
    <w:qFormat/>
    <w:uiPriority w:val="9"/>
    <w:rPr>
      <w:rFonts w:asciiTheme="majorHAnsi" w:hAnsiTheme="majorHAnsi" w:eastAsiaTheme="majorEastAsia" w:cstheme="majorBidi"/>
      <w:kern w:val="2"/>
      <w:sz w:val="24"/>
      <w:szCs w:val="24"/>
    </w:rPr>
  </w:style>
  <w:style w:type="character" w:customStyle="1" w:styleId="58">
    <w:name w:val="标题 9 字符"/>
    <w:basedOn w:val="44"/>
    <w:link w:val="10"/>
    <w:qFormat/>
    <w:uiPriority w:val="0"/>
    <w:rPr>
      <w:rFonts w:asciiTheme="majorHAnsi" w:hAnsiTheme="majorHAnsi" w:eastAsiaTheme="majorEastAsia" w:cstheme="majorBidi"/>
      <w:kern w:val="2"/>
      <w:sz w:val="24"/>
      <w:szCs w:val="21"/>
    </w:rPr>
  </w:style>
  <w:style w:type="character" w:customStyle="1" w:styleId="59">
    <w:name w:val="批注文字 字符"/>
    <w:basedOn w:val="44"/>
    <w:link w:val="17"/>
    <w:qFormat/>
    <w:uiPriority w:val="99"/>
    <w:rPr>
      <w:sz w:val="24"/>
    </w:rPr>
  </w:style>
  <w:style w:type="character" w:customStyle="1" w:styleId="60">
    <w:name w:val="批注主题 字符"/>
    <w:basedOn w:val="59"/>
    <w:link w:val="40"/>
    <w:qFormat/>
    <w:uiPriority w:val="99"/>
    <w:rPr>
      <w:b/>
      <w:bCs/>
      <w:sz w:val="24"/>
    </w:rPr>
  </w:style>
  <w:style w:type="character" w:customStyle="1" w:styleId="61">
    <w:name w:val="正文文本 字符"/>
    <w:basedOn w:val="44"/>
    <w:link w:val="18"/>
    <w:qFormat/>
    <w:uiPriority w:val="99"/>
    <w:rPr>
      <w:rFonts w:ascii="Times New Roman" w:hAnsi="Times New Roman" w:eastAsia="宋体" w:cs="Times New Roman"/>
      <w:szCs w:val="20"/>
    </w:rPr>
  </w:style>
  <w:style w:type="character" w:customStyle="1" w:styleId="62">
    <w:name w:val="正文文本首行缩进 字符"/>
    <w:basedOn w:val="61"/>
    <w:link w:val="41"/>
    <w:semiHidden/>
    <w:qFormat/>
    <w:uiPriority w:val="99"/>
    <w:rPr>
      <w:rFonts w:ascii="Times New Roman" w:hAnsi="Times New Roman" w:eastAsia="宋体" w:cs="Times New Roman"/>
      <w:kern w:val="2"/>
      <w:sz w:val="24"/>
      <w:szCs w:val="22"/>
    </w:rPr>
  </w:style>
  <w:style w:type="character" w:customStyle="1" w:styleId="63">
    <w:name w:val="正文缩进 字符"/>
    <w:link w:val="13"/>
    <w:qFormat/>
    <w:uiPriority w:val="0"/>
    <w:rPr>
      <w:rFonts w:ascii="Times New Roman" w:hAnsi="Times New Roman" w:eastAsia="方正细黑一简体" w:cs="Times New Roman"/>
      <w:szCs w:val="24"/>
      <w:lang w:val="zh-CN" w:eastAsia="zh-CN"/>
    </w:rPr>
  </w:style>
  <w:style w:type="character" w:customStyle="1" w:styleId="64">
    <w:name w:val="文档结构图 字符"/>
    <w:basedOn w:val="44"/>
    <w:link w:val="16"/>
    <w:qFormat/>
    <w:uiPriority w:val="0"/>
    <w:rPr>
      <w:rFonts w:ascii="Heiti SC Light" w:eastAsia="Heiti SC Light"/>
      <w:sz w:val="24"/>
      <w:szCs w:val="24"/>
    </w:rPr>
  </w:style>
  <w:style w:type="character" w:customStyle="1" w:styleId="65">
    <w:name w:val="正文文本缩进 字符"/>
    <w:basedOn w:val="44"/>
    <w:link w:val="20"/>
    <w:qFormat/>
    <w:uiPriority w:val="99"/>
    <w:rPr>
      <w:rFonts w:ascii="Times New Roman" w:hAnsi="Times New Roman" w:eastAsia="宋体" w:cs="Times New Roman"/>
      <w:szCs w:val="24"/>
    </w:rPr>
  </w:style>
  <w:style w:type="character" w:customStyle="1" w:styleId="66">
    <w:name w:val="纯文本 字符"/>
    <w:link w:val="23"/>
    <w:qFormat/>
    <w:uiPriority w:val="0"/>
    <w:rPr>
      <w:rFonts w:ascii="宋体" w:hAnsi="Courier New" w:eastAsia="宋体"/>
      <w:szCs w:val="20"/>
    </w:rPr>
  </w:style>
  <w:style w:type="character" w:customStyle="1" w:styleId="67">
    <w:name w:val="日期 字符"/>
    <w:basedOn w:val="44"/>
    <w:link w:val="25"/>
    <w:qFormat/>
    <w:uiPriority w:val="0"/>
  </w:style>
  <w:style w:type="character" w:customStyle="1" w:styleId="68">
    <w:name w:val="正文文本缩进 2 字符"/>
    <w:link w:val="26"/>
    <w:qFormat/>
    <w:uiPriority w:val="0"/>
    <w:rPr>
      <w:rFonts w:ascii="Calibri" w:hAnsi="Calibri"/>
    </w:rPr>
  </w:style>
  <w:style w:type="character" w:customStyle="1" w:styleId="69">
    <w:name w:val="批注框文本 字符"/>
    <w:basedOn w:val="44"/>
    <w:link w:val="27"/>
    <w:qFormat/>
    <w:uiPriority w:val="99"/>
    <w:rPr>
      <w:sz w:val="18"/>
      <w:szCs w:val="18"/>
    </w:rPr>
  </w:style>
  <w:style w:type="character" w:customStyle="1" w:styleId="70">
    <w:name w:val="页脚 字符"/>
    <w:basedOn w:val="44"/>
    <w:link w:val="28"/>
    <w:qFormat/>
    <w:uiPriority w:val="99"/>
    <w:rPr>
      <w:rFonts w:ascii="Times New Roman" w:hAnsi="Times New Roman" w:eastAsia="宋体" w:cs="Times New Roman"/>
      <w:sz w:val="18"/>
      <w:szCs w:val="20"/>
    </w:rPr>
  </w:style>
  <w:style w:type="character" w:customStyle="1" w:styleId="71">
    <w:name w:val="页眉 字符"/>
    <w:basedOn w:val="44"/>
    <w:link w:val="29"/>
    <w:qFormat/>
    <w:uiPriority w:val="99"/>
    <w:rPr>
      <w:rFonts w:ascii="Times New Roman" w:hAnsi="Times New Roman" w:eastAsia="宋体" w:cs="Times New Roman"/>
      <w:sz w:val="18"/>
      <w:szCs w:val="20"/>
    </w:rPr>
  </w:style>
  <w:style w:type="character" w:customStyle="1" w:styleId="72">
    <w:name w:val="正文文本缩进 3 字符"/>
    <w:basedOn w:val="44"/>
    <w:link w:val="33"/>
    <w:semiHidden/>
    <w:qFormat/>
    <w:uiPriority w:val="99"/>
    <w:rPr>
      <w:sz w:val="16"/>
      <w:szCs w:val="16"/>
    </w:rPr>
  </w:style>
  <w:style w:type="character" w:customStyle="1" w:styleId="73">
    <w:name w:val="正文文本 2 字符"/>
    <w:basedOn w:val="44"/>
    <w:link w:val="19"/>
    <w:qFormat/>
    <w:uiPriority w:val="0"/>
    <w:rPr>
      <w:rFonts w:ascii="Times New Roman" w:hAnsi="Times New Roman" w:eastAsia="宋体" w:cs="Times New Roman"/>
      <w:szCs w:val="20"/>
    </w:rPr>
  </w:style>
  <w:style w:type="character" w:customStyle="1" w:styleId="74">
    <w:name w:val="HTML 预设格式 字符"/>
    <w:basedOn w:val="44"/>
    <w:link w:val="37"/>
    <w:semiHidden/>
    <w:qFormat/>
    <w:uiPriority w:val="99"/>
    <w:rPr>
      <w:rFonts w:ascii="宋体" w:hAnsi="宋体" w:eastAsia="宋体" w:cs="宋体"/>
      <w:kern w:val="0"/>
      <w:sz w:val="24"/>
      <w:szCs w:val="24"/>
    </w:rPr>
  </w:style>
  <w:style w:type="character" w:customStyle="1" w:styleId="75">
    <w:name w:val="普通(网站) 字符"/>
    <w:link w:val="38"/>
    <w:qFormat/>
    <w:uiPriority w:val="99"/>
    <w:rPr>
      <w:rFonts w:ascii="宋体" w:hAnsi="宋体" w:eastAsia="宋体" w:cs="Times New Roman"/>
      <w:kern w:val="0"/>
      <w:sz w:val="24"/>
      <w:szCs w:val="24"/>
    </w:rPr>
  </w:style>
  <w:style w:type="paragraph" w:customStyle="1" w:styleId="76">
    <w:name w:val="列出段落1"/>
    <w:basedOn w:val="1"/>
    <w:link w:val="77"/>
    <w:qFormat/>
    <w:uiPriority w:val="99"/>
    <w:pPr>
      <w:ind w:firstLine="420" w:firstLineChars="200"/>
    </w:pPr>
  </w:style>
  <w:style w:type="character" w:customStyle="1" w:styleId="77">
    <w:name w:val="列出段落字符"/>
    <w:link w:val="76"/>
    <w:qFormat/>
    <w:uiPriority w:val="99"/>
  </w:style>
  <w:style w:type="paragraph" w:customStyle="1" w:styleId="78">
    <w:name w:val="Char"/>
    <w:basedOn w:val="1"/>
    <w:qFormat/>
    <w:uiPriority w:val="0"/>
    <w:pPr>
      <w:tabs>
        <w:tab w:val="left" w:pos="360"/>
      </w:tabs>
    </w:pPr>
    <w:rPr>
      <w:rFonts w:ascii="Times New Roman" w:hAnsi="Times New Roman" w:cs="Times New Roman"/>
      <w:szCs w:val="24"/>
    </w:rPr>
  </w:style>
  <w:style w:type="paragraph" w:customStyle="1" w:styleId="79">
    <w:name w:val="规范正文"/>
    <w:basedOn w:val="1"/>
    <w:qFormat/>
    <w:uiPriority w:val="0"/>
    <w:pPr>
      <w:adjustRightInd w:val="0"/>
      <w:spacing w:line="360" w:lineRule="auto"/>
      <w:ind w:left="480"/>
    </w:pPr>
    <w:rPr>
      <w:rFonts w:ascii="Times New Roman" w:hAnsi="Times New Roman" w:cs="Times New Roman"/>
      <w:kern w:val="0"/>
      <w:szCs w:val="20"/>
    </w:rPr>
  </w:style>
  <w:style w:type="paragraph" w:customStyle="1" w:styleId="80">
    <w:name w:val="GW-正文"/>
    <w:basedOn w:val="1"/>
    <w:link w:val="81"/>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1">
    <w:name w:val="GW-正文 Char"/>
    <w:link w:val="80"/>
    <w:qFormat/>
    <w:uiPriority w:val="0"/>
    <w:rPr>
      <w:rFonts w:ascii="宋体" w:hAnsi="宋体" w:eastAsia="宋体" w:cs="Times New Roman"/>
      <w:color w:val="000000"/>
      <w:kern w:val="0"/>
      <w:sz w:val="24"/>
      <w:szCs w:val="28"/>
      <w:lang w:bidi="en-US"/>
    </w:rPr>
  </w:style>
  <w:style w:type="paragraph" w:customStyle="1" w:styleId="82">
    <w:name w:val="GW-标题1"/>
    <w:basedOn w:val="2"/>
    <w:link w:val="83"/>
    <w:qFormat/>
    <w:uiPriority w:val="0"/>
    <w:pPr>
      <w:keepNext w:val="0"/>
      <w:keepLines w:val="0"/>
      <w:widowControl/>
      <w:numPr>
        <w:ilvl w:val="0"/>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3">
    <w:name w:val="GW-标题1 Char"/>
    <w:link w:val="82"/>
    <w:qFormat/>
    <w:uiPriority w:val="0"/>
    <w:rPr>
      <w:rFonts w:ascii="Calibri" w:hAnsi="Calibri" w:eastAsia="宋体" w:cs="Times New Roman"/>
      <w:b/>
      <w:bCs/>
      <w:kern w:val="0"/>
      <w:sz w:val="48"/>
      <w:szCs w:val="28"/>
      <w:lang w:eastAsia="en-US" w:bidi="en-US"/>
    </w:rPr>
  </w:style>
  <w:style w:type="paragraph" w:customStyle="1" w:styleId="84">
    <w:name w:val="GW-标题2"/>
    <w:basedOn w:val="82"/>
    <w:link w:val="85"/>
    <w:qFormat/>
    <w:uiPriority w:val="0"/>
    <w:pPr>
      <w:keepNext/>
      <w:keepLines/>
      <w:widowControl w:val="0"/>
      <w:outlineLvl w:val="1"/>
    </w:pPr>
    <w:rPr>
      <w:rFonts w:ascii="宋体" w:hAnsi="宋体"/>
      <w:sz w:val="32"/>
    </w:rPr>
  </w:style>
  <w:style w:type="character" w:customStyle="1" w:styleId="85">
    <w:name w:val="GW-标题2 Char"/>
    <w:link w:val="84"/>
    <w:qFormat/>
    <w:uiPriority w:val="0"/>
    <w:rPr>
      <w:rFonts w:ascii="宋体" w:hAnsi="宋体" w:eastAsia="宋体" w:cs="Times New Roman"/>
      <w:b/>
      <w:bCs/>
      <w:kern w:val="0"/>
      <w:sz w:val="32"/>
      <w:szCs w:val="28"/>
      <w:lang w:eastAsia="en-US" w:bidi="en-US"/>
    </w:rPr>
  </w:style>
  <w:style w:type="paragraph" w:customStyle="1" w:styleId="86">
    <w:name w:val="GW-标题3"/>
    <w:basedOn w:val="4"/>
    <w:link w:val="87"/>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7">
    <w:name w:val="GW-标题3 Char"/>
    <w:link w:val="86"/>
    <w:qFormat/>
    <w:uiPriority w:val="0"/>
    <w:rPr>
      <w:rFonts w:ascii="仿宋_GB2312" w:hAnsi="Calibri" w:eastAsia="宋体" w:cs="Times New Roman"/>
      <w:b/>
      <w:bCs/>
      <w:kern w:val="0"/>
      <w:sz w:val="30"/>
      <w:szCs w:val="24"/>
      <w:lang w:eastAsia="en-US" w:bidi="en-US"/>
    </w:rPr>
  </w:style>
  <w:style w:type="paragraph" w:customStyle="1" w:styleId="88">
    <w:name w:val="GW-标题4"/>
    <w:basedOn w:val="86"/>
    <w:link w:val="89"/>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9">
    <w:name w:val="GW-标题4 Char"/>
    <w:link w:val="88"/>
    <w:qFormat/>
    <w:uiPriority w:val="0"/>
    <w:rPr>
      <w:rFonts w:ascii="微软雅黑" w:hAnsi="微软雅黑" w:eastAsia="微软雅黑" w:cs="Times New Roman"/>
      <w:kern w:val="0"/>
      <w:sz w:val="28"/>
      <w:szCs w:val="21"/>
      <w:lang w:bidi="en-US"/>
    </w:rPr>
  </w:style>
  <w:style w:type="paragraph" w:customStyle="1" w:styleId="90">
    <w:name w:val="GW-标题5"/>
    <w:basedOn w:val="88"/>
    <w:qFormat/>
    <w:uiPriority w:val="0"/>
    <w:pPr>
      <w:outlineLvl w:val="4"/>
    </w:pPr>
    <w:rPr>
      <w:bCs/>
    </w:rPr>
  </w:style>
  <w:style w:type="paragraph" w:customStyle="1" w:styleId="91">
    <w:name w:val="GW-标题6"/>
    <w:basedOn w:val="90"/>
    <w:qFormat/>
    <w:uiPriority w:val="0"/>
    <w:pPr>
      <w:snapToGrid w:val="0"/>
      <w:outlineLvl w:val="5"/>
    </w:pPr>
    <w:rPr>
      <w:bCs w:val="0"/>
      <w:sz w:val="24"/>
    </w:rPr>
  </w:style>
  <w:style w:type="paragraph" w:customStyle="1" w:styleId="92">
    <w:name w:val="GW-标题7"/>
    <w:basedOn w:val="91"/>
    <w:qFormat/>
    <w:uiPriority w:val="0"/>
    <w:pPr>
      <w:outlineLvl w:val="6"/>
    </w:pPr>
    <w:rPr>
      <w:i/>
    </w:rPr>
  </w:style>
  <w:style w:type="paragraph" w:customStyle="1" w:styleId="93">
    <w:name w:val="段落文字"/>
    <w:basedOn w:val="1"/>
    <w:link w:val="94"/>
    <w:qFormat/>
    <w:uiPriority w:val="0"/>
    <w:pPr>
      <w:spacing w:line="360" w:lineRule="auto"/>
      <w:ind w:firstLine="420" w:firstLineChars="200"/>
    </w:pPr>
    <w:rPr>
      <w:rFonts w:ascii="Times New Roman" w:hAnsi="Times New Roman" w:cs="宋体"/>
      <w:szCs w:val="20"/>
    </w:rPr>
  </w:style>
  <w:style w:type="character" w:customStyle="1" w:styleId="94">
    <w:name w:val="段落文字 Char1"/>
    <w:basedOn w:val="44"/>
    <w:link w:val="93"/>
    <w:qFormat/>
    <w:uiPriority w:val="0"/>
    <w:rPr>
      <w:rFonts w:ascii="Times New Roman" w:hAnsi="Times New Roman" w:eastAsia="宋体" w:cs="宋体"/>
      <w:szCs w:val="20"/>
    </w:rPr>
  </w:style>
  <w:style w:type="paragraph" w:customStyle="1" w:styleId="95">
    <w:name w:val="表格文字"/>
    <w:basedOn w:val="1"/>
    <w:link w:val="96"/>
    <w:qFormat/>
    <w:uiPriority w:val="0"/>
    <w:rPr>
      <w:rFonts w:ascii="Times New Roman" w:hAnsi="Times New Roman" w:cs="宋体"/>
      <w:szCs w:val="20"/>
    </w:rPr>
  </w:style>
  <w:style w:type="character" w:customStyle="1" w:styleId="96">
    <w:name w:val="表格文字 Char"/>
    <w:basedOn w:val="44"/>
    <w:link w:val="95"/>
    <w:qFormat/>
    <w:uiPriority w:val="0"/>
    <w:rPr>
      <w:rFonts w:ascii="Times New Roman" w:hAnsi="Times New Roman" w:eastAsia="宋体" w:cs="宋体"/>
      <w:szCs w:val="20"/>
    </w:rPr>
  </w:style>
  <w:style w:type="character" w:customStyle="1" w:styleId="97">
    <w:name w:val="纯文本 Char1"/>
    <w:basedOn w:val="44"/>
    <w:qFormat/>
    <w:uiPriority w:val="0"/>
    <w:rPr>
      <w:rFonts w:ascii="宋体" w:hAnsi="Courier New" w:eastAsia="宋体" w:cs="Courier New"/>
      <w:szCs w:val="21"/>
    </w:rPr>
  </w:style>
  <w:style w:type="paragraph" w:customStyle="1" w:styleId="98">
    <w:name w:val="p0"/>
    <w:basedOn w:val="1"/>
    <w:qFormat/>
    <w:uiPriority w:val="0"/>
    <w:pPr>
      <w:widowControl/>
    </w:pPr>
    <w:rPr>
      <w:rFonts w:ascii="Times New Roman" w:hAnsi="Times New Roman" w:cs="Times New Roman"/>
      <w:kern w:val="0"/>
      <w:szCs w:val="21"/>
    </w:rPr>
  </w:style>
  <w:style w:type="paragraph" w:customStyle="1" w:styleId="99">
    <w:name w:val="文章正文"/>
    <w:basedOn w:val="1"/>
    <w:link w:val="100"/>
    <w:qFormat/>
    <w:uiPriority w:val="0"/>
    <w:pPr>
      <w:spacing w:line="360" w:lineRule="auto"/>
      <w:ind w:firstLine="200" w:firstLineChars="200"/>
    </w:pPr>
    <w:rPr>
      <w:rFonts w:ascii="Times New Roman" w:hAnsi="Times New Roman" w:cs="Times New Roman"/>
      <w:kern w:val="0"/>
      <w:szCs w:val="24"/>
    </w:rPr>
  </w:style>
  <w:style w:type="character" w:customStyle="1" w:styleId="100">
    <w:name w:val="文章正文 Char"/>
    <w:link w:val="99"/>
    <w:qFormat/>
    <w:uiPriority w:val="0"/>
    <w:rPr>
      <w:rFonts w:ascii="Times New Roman" w:hAnsi="Times New Roman" w:eastAsia="宋体" w:cs="Times New Roman"/>
      <w:kern w:val="0"/>
      <w:sz w:val="24"/>
      <w:szCs w:val="24"/>
    </w:rPr>
  </w:style>
  <w:style w:type="paragraph" w:customStyle="1" w:styleId="101">
    <w:name w:val="列表123"/>
    <w:basedOn w:val="1"/>
    <w:link w:val="102"/>
    <w:qFormat/>
    <w:uiPriority w:val="0"/>
    <w:pPr>
      <w:spacing w:beforeLines="30" w:afterLines="30" w:line="360" w:lineRule="auto"/>
      <w:jc w:val="left"/>
    </w:pPr>
    <w:rPr>
      <w:rFonts w:ascii="Times New Roman" w:hAnsi="Times New Roman" w:cs="Times New Roman"/>
      <w:szCs w:val="24"/>
    </w:rPr>
  </w:style>
  <w:style w:type="character" w:customStyle="1" w:styleId="102">
    <w:name w:val="列表123 Char"/>
    <w:link w:val="101"/>
    <w:qFormat/>
    <w:uiPriority w:val="0"/>
    <w:rPr>
      <w:rFonts w:ascii="Times New Roman" w:hAnsi="Times New Roman" w:eastAsia="宋体" w:cs="Times New Roman"/>
      <w:sz w:val="24"/>
      <w:szCs w:val="24"/>
    </w:rPr>
  </w:style>
  <w:style w:type="character" w:customStyle="1" w:styleId="103">
    <w:name w:val="GW-正文 Char Char"/>
    <w:qFormat/>
    <w:uiPriority w:val="0"/>
    <w:rPr>
      <w:rFonts w:ascii="宋体" w:hAnsi="宋体"/>
      <w:sz w:val="24"/>
    </w:rPr>
  </w:style>
  <w:style w:type="paragraph" w:customStyle="1" w:styleId="104">
    <w:name w:val="自定义正文"/>
    <w:basedOn w:val="1"/>
    <w:link w:val="105"/>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5">
    <w:name w:val="自定义正文 Char Char"/>
    <w:link w:val="104"/>
    <w:qFormat/>
    <w:uiPriority w:val="0"/>
    <w:rPr>
      <w:rFonts w:ascii="Times New Roman" w:hAnsi="Times New Roman" w:eastAsia="方正细黑一简体" w:cs="Times New Roman"/>
      <w:sz w:val="24"/>
      <w:szCs w:val="24"/>
      <w:lang w:val="zh-CN" w:eastAsia="zh-CN"/>
    </w:rPr>
  </w:style>
  <w:style w:type="paragraph" w:customStyle="1" w:styleId="106">
    <w:name w:val="自定义表格文字"/>
    <w:basedOn w:val="104"/>
    <w:qFormat/>
    <w:uiPriority w:val="0"/>
    <w:pPr>
      <w:spacing w:before="60" w:afterLines="0" w:line="320" w:lineRule="exact"/>
      <w:ind w:firstLine="0" w:firstLineChars="0"/>
    </w:pPr>
    <w:rPr>
      <w:rFonts w:ascii="宋体" w:eastAsia="楷体_GB2312"/>
      <w:sz w:val="21"/>
    </w:rPr>
  </w:style>
  <w:style w:type="paragraph" w:customStyle="1" w:styleId="107">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8">
    <w:name w:val="z-正文"/>
    <w:basedOn w:val="1"/>
    <w:link w:val="109"/>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9">
    <w:name w:val="z-正文 Char"/>
    <w:link w:val="108"/>
    <w:qFormat/>
    <w:uiPriority w:val="0"/>
    <w:rPr>
      <w:rFonts w:ascii="Calibri" w:hAnsi="Calibri" w:eastAsia="宋体" w:cs="Times New Roman"/>
      <w:kern w:val="0"/>
      <w:sz w:val="22"/>
      <w:szCs w:val="20"/>
    </w:rPr>
  </w:style>
  <w:style w:type="paragraph" w:customStyle="1" w:styleId="110">
    <w:name w:val="GW-标题8"/>
    <w:basedOn w:val="92"/>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1">
    <w:name w:val="标准文本"/>
    <w:basedOn w:val="1"/>
    <w:link w:val="112"/>
    <w:qFormat/>
    <w:uiPriority w:val="0"/>
    <w:rPr>
      <w:rFonts w:ascii="Times New Roman" w:hAnsi="Times New Roman" w:cs="Times New Roman"/>
      <w:szCs w:val="20"/>
    </w:rPr>
  </w:style>
  <w:style w:type="character" w:customStyle="1" w:styleId="112">
    <w:name w:val="标准文本 Char Char"/>
    <w:link w:val="111"/>
    <w:unhideWhenUsed/>
    <w:qFormat/>
    <w:uiPriority w:val="0"/>
    <w:rPr>
      <w:rFonts w:ascii="Times New Roman" w:hAnsi="Times New Roman" w:eastAsia="宋体" w:cs="Times New Roman"/>
      <w:szCs w:val="20"/>
    </w:rPr>
  </w:style>
  <w:style w:type="paragraph" w:customStyle="1" w:styleId="113">
    <w:name w:val="123123123"/>
    <w:basedOn w:val="1"/>
    <w:link w:val="114"/>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4">
    <w:name w:val="123123123 Char"/>
    <w:link w:val="113"/>
    <w:qFormat/>
    <w:uiPriority w:val="0"/>
    <w:rPr>
      <w:rFonts w:ascii="宋体" w:hAnsi="宋体" w:eastAsia="方正细黑一简体" w:cs="Times New Roman"/>
      <w:sz w:val="24"/>
      <w:szCs w:val="24"/>
    </w:rPr>
  </w:style>
  <w:style w:type="character" w:customStyle="1" w:styleId="115">
    <w:name w:val="图名 Char Char"/>
    <w:link w:val="116"/>
    <w:qFormat/>
    <w:uiPriority w:val="0"/>
    <w:rPr>
      <w:rFonts w:ascii="Times New Roman" w:hAnsi="Times New Roman" w:cs="宋体"/>
      <w:b/>
      <w:sz w:val="24"/>
      <w:szCs w:val="24"/>
    </w:rPr>
  </w:style>
  <w:style w:type="paragraph" w:customStyle="1" w:styleId="116">
    <w:name w:val="图名"/>
    <w:basedOn w:val="1"/>
    <w:link w:val="115"/>
    <w:qFormat/>
    <w:uiPriority w:val="0"/>
    <w:pPr>
      <w:spacing w:beforeLines="100" w:line="360" w:lineRule="auto"/>
      <w:jc w:val="center"/>
    </w:pPr>
    <w:rPr>
      <w:rFonts w:ascii="Times New Roman" w:hAnsi="Times New Roman" w:cs="宋体"/>
      <w:b/>
      <w:szCs w:val="24"/>
    </w:rPr>
  </w:style>
  <w:style w:type="paragraph" w:customStyle="1" w:styleId="117">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8">
    <w:name w:val="列出段落11"/>
    <w:basedOn w:val="1"/>
    <w:qFormat/>
    <w:uiPriority w:val="0"/>
    <w:pPr>
      <w:spacing w:line="360" w:lineRule="auto"/>
      <w:ind w:firstLine="420"/>
    </w:pPr>
    <w:rPr>
      <w:rFonts w:ascii="Calibri" w:hAnsi="Calibri" w:cs="黑体"/>
    </w:rPr>
  </w:style>
  <w:style w:type="paragraph" w:customStyle="1" w:styleId="119">
    <w:name w:val="正文o"/>
    <w:basedOn w:val="108"/>
    <w:link w:val="120"/>
    <w:qFormat/>
    <w:uiPriority w:val="0"/>
    <w:pPr>
      <w:spacing w:line="240" w:lineRule="atLeast"/>
      <w:ind w:firstLine="0" w:firstLineChars="0"/>
    </w:pPr>
    <w:rPr>
      <w:rFonts w:ascii="微软雅黑" w:hAnsi="微软雅黑" w:eastAsia="微软雅黑"/>
      <w:sz w:val="21"/>
      <w:szCs w:val="21"/>
    </w:rPr>
  </w:style>
  <w:style w:type="character" w:customStyle="1" w:styleId="120">
    <w:name w:val="正文o Char"/>
    <w:link w:val="119"/>
    <w:qFormat/>
    <w:uiPriority w:val="0"/>
    <w:rPr>
      <w:rFonts w:ascii="微软雅黑" w:hAnsi="微软雅黑" w:eastAsia="微软雅黑" w:cs="Times New Roman"/>
      <w:kern w:val="0"/>
      <w:szCs w:val="21"/>
    </w:rPr>
  </w:style>
  <w:style w:type="paragraph" w:customStyle="1" w:styleId="121">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2">
    <w:name w:val="标准文本 Char"/>
    <w:qFormat/>
    <w:uiPriority w:val="0"/>
    <w:rPr>
      <w:kern w:val="2"/>
      <w:sz w:val="24"/>
    </w:rPr>
  </w:style>
  <w:style w:type="paragraph" w:customStyle="1" w:styleId="123">
    <w:name w:val="列出段落2"/>
    <w:basedOn w:val="1"/>
    <w:qFormat/>
    <w:uiPriority w:val="0"/>
    <w:pPr>
      <w:ind w:firstLine="420" w:firstLineChars="200"/>
    </w:pPr>
    <w:rPr>
      <w:rFonts w:ascii="Calibri" w:hAnsi="Calibri" w:cs="Times New Roman"/>
    </w:rPr>
  </w:style>
  <w:style w:type="paragraph" w:customStyle="1" w:styleId="124">
    <w:name w:val="Char11"/>
    <w:basedOn w:val="1"/>
    <w:qFormat/>
    <w:uiPriority w:val="0"/>
    <w:pPr>
      <w:tabs>
        <w:tab w:val="left" w:pos="360"/>
      </w:tabs>
    </w:pPr>
    <w:rPr>
      <w:rFonts w:ascii="Times New Roman" w:hAnsi="Times New Roman" w:cs="Times New Roman"/>
      <w:szCs w:val="24"/>
    </w:rPr>
  </w:style>
  <w:style w:type="paragraph" w:customStyle="1" w:styleId="125">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6">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8">
    <w:name w:val="注释级别 21"/>
    <w:basedOn w:val="1"/>
    <w:link w:val="129"/>
    <w:unhideWhenUsed/>
    <w:qFormat/>
    <w:uiPriority w:val="99"/>
    <w:pPr>
      <w:keepNext/>
      <w:numPr>
        <w:ilvl w:val="1"/>
        <w:numId w:val="3"/>
      </w:numPr>
      <w:contextualSpacing/>
      <w:outlineLvl w:val="1"/>
    </w:pPr>
    <w:rPr>
      <w:rFonts w:ascii="宋体"/>
    </w:rPr>
  </w:style>
  <w:style w:type="character" w:customStyle="1" w:styleId="129">
    <w:name w:val="注释级别 2字符"/>
    <w:link w:val="128"/>
    <w:qFormat/>
    <w:uiPriority w:val="99"/>
    <w:rPr>
      <w:rFonts w:ascii="宋体" w:eastAsia="宋体"/>
      <w:kern w:val="2"/>
      <w:sz w:val="24"/>
      <w:szCs w:val="22"/>
    </w:rPr>
  </w:style>
  <w:style w:type="paragraph" w:customStyle="1" w:styleId="130">
    <w:name w:val="普通正文"/>
    <w:basedOn w:val="1"/>
    <w:link w:val="131"/>
    <w:qFormat/>
    <w:uiPriority w:val="0"/>
    <w:pPr>
      <w:spacing w:line="440" w:lineRule="exact"/>
      <w:ind w:firstLine="200" w:firstLineChars="200"/>
    </w:pPr>
    <w:rPr>
      <w:rFonts w:ascii="仿宋_GB2312" w:hAnsi="Times New Roman" w:eastAsia="仿宋_GB2312" w:cs="宋体"/>
      <w:szCs w:val="20"/>
    </w:rPr>
  </w:style>
  <w:style w:type="character" w:customStyle="1" w:styleId="131">
    <w:name w:val="普通正文 Char"/>
    <w:link w:val="130"/>
    <w:qFormat/>
    <w:uiPriority w:val="0"/>
    <w:rPr>
      <w:rFonts w:ascii="仿宋_GB2312" w:hAnsi="Times New Roman" w:eastAsia="仿宋_GB2312" w:cs="宋体"/>
      <w:sz w:val="24"/>
      <w:szCs w:val="20"/>
    </w:rPr>
  </w:style>
  <w:style w:type="paragraph" w:customStyle="1" w:styleId="132">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3">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4">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5">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6">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7">
    <w:name w:val="标题 41"/>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8">
    <w:name w:val="列出项目"/>
    <w:basedOn w:val="1"/>
    <w:qFormat/>
    <w:uiPriority w:val="0"/>
    <w:pPr>
      <w:numPr>
        <w:ilvl w:val="0"/>
        <w:numId w:val="6"/>
      </w:numPr>
      <w:spacing w:line="360" w:lineRule="auto"/>
    </w:pPr>
    <w:rPr>
      <w:rFonts w:ascii="宋体" w:hAnsi="宋体" w:cs="Times New Roman"/>
      <w:b/>
    </w:rPr>
  </w:style>
  <w:style w:type="character" w:customStyle="1" w:styleId="139">
    <w:name w:val="dash6b63_6587__char1"/>
    <w:qFormat/>
    <w:uiPriority w:val="0"/>
    <w:rPr>
      <w:rFonts w:ascii="Times New Roman" w:hAnsi="Times New Roman" w:eastAsia="仿宋_GB2312"/>
      <w:sz w:val="20"/>
      <w:u w:val="none"/>
      <w:lang w:val="en-US" w:eastAsia="zh-CN"/>
    </w:rPr>
  </w:style>
  <w:style w:type="character" w:customStyle="1" w:styleId="140">
    <w:name w:val="段正文 Char2"/>
    <w:link w:val="141"/>
    <w:qFormat/>
    <w:uiPriority w:val="0"/>
    <w:rPr>
      <w:rFonts w:ascii="Arial" w:hAnsi="Arial"/>
      <w:color w:val="000000"/>
    </w:rPr>
  </w:style>
  <w:style w:type="paragraph" w:customStyle="1" w:styleId="141">
    <w:name w:val="段正文"/>
    <w:basedOn w:val="1"/>
    <w:link w:val="140"/>
    <w:qFormat/>
    <w:uiPriority w:val="0"/>
    <w:pPr>
      <w:adjustRightInd w:val="0"/>
      <w:spacing w:line="360" w:lineRule="auto"/>
      <w:ind w:firstLine="538" w:firstLineChars="224"/>
    </w:pPr>
    <w:rPr>
      <w:rFonts w:ascii="Arial" w:hAnsi="Arial"/>
      <w:color w:val="000000"/>
    </w:rPr>
  </w:style>
  <w:style w:type="character" w:customStyle="1" w:styleId="142">
    <w:name w:val="正文（首行缩进两字）"/>
    <w:qFormat/>
    <w:uiPriority w:val="0"/>
    <w:rPr>
      <w:rFonts w:eastAsia="宋体"/>
      <w:kern w:val="2"/>
      <w:sz w:val="21"/>
      <w:szCs w:val="24"/>
      <w:lang w:val="en-US" w:eastAsia="zh-CN" w:bidi="ar-SA"/>
    </w:rPr>
  </w:style>
  <w:style w:type="character" w:customStyle="1" w:styleId="143">
    <w:name w:val="标题 2 Char1"/>
    <w:qFormat/>
    <w:uiPriority w:val="0"/>
    <w:rPr>
      <w:rFonts w:ascii="Arial" w:hAnsi="Arial" w:eastAsia="黑体" w:cs="Times New Roman"/>
      <w:b/>
      <w:bCs/>
      <w:sz w:val="32"/>
      <w:szCs w:val="32"/>
    </w:rPr>
  </w:style>
  <w:style w:type="character" w:customStyle="1" w:styleId="144">
    <w:name w:val="批注文字 Char1"/>
    <w:semiHidden/>
    <w:qFormat/>
    <w:uiPriority w:val="99"/>
    <w:rPr>
      <w:rFonts w:ascii="Times New Roman" w:hAnsi="Times New Roman" w:eastAsia="宋体" w:cs="Times New Roman"/>
      <w:szCs w:val="20"/>
    </w:rPr>
  </w:style>
  <w:style w:type="character" w:customStyle="1" w:styleId="145">
    <w:name w:val="列举 Char"/>
    <w:link w:val="146"/>
    <w:qFormat/>
    <w:uiPriority w:val="0"/>
    <w:rPr>
      <w:rFonts w:ascii="宋体" w:hAnsi="宋体"/>
      <w:sz w:val="24"/>
    </w:rPr>
  </w:style>
  <w:style w:type="paragraph" w:customStyle="1" w:styleId="146">
    <w:name w:val="列举"/>
    <w:basedOn w:val="1"/>
    <w:link w:val="145"/>
    <w:qFormat/>
    <w:uiPriority w:val="0"/>
    <w:pPr>
      <w:widowControl/>
      <w:spacing w:beforeLines="50" w:afterLines="50" w:line="360" w:lineRule="auto"/>
      <w:ind w:left="960" w:hanging="480"/>
      <w:jc w:val="left"/>
    </w:pPr>
    <w:rPr>
      <w:rFonts w:ascii="宋体" w:hAnsi="宋体"/>
    </w:rPr>
  </w:style>
  <w:style w:type="character" w:customStyle="1" w:styleId="147">
    <w:name w:val="正文文本缩进 Char1"/>
    <w:qFormat/>
    <w:uiPriority w:val="0"/>
    <w:rPr>
      <w:kern w:val="2"/>
      <w:sz w:val="32"/>
    </w:rPr>
  </w:style>
  <w:style w:type="character" w:customStyle="1" w:styleId="148">
    <w:name w:val="无间距字符"/>
    <w:link w:val="149"/>
    <w:qFormat/>
    <w:uiPriority w:val="1"/>
  </w:style>
  <w:style w:type="paragraph" w:customStyle="1" w:styleId="149">
    <w:name w:val="无间距1"/>
    <w:link w:val="148"/>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50">
    <w:name w:val="正文oo Char"/>
    <w:link w:val="151"/>
    <w:qFormat/>
    <w:uiPriority w:val="0"/>
    <w:rPr>
      <w:rFonts w:ascii="宋体" w:hAnsi="宋体" w:cs="宋体"/>
      <w:sz w:val="24"/>
      <w:szCs w:val="24"/>
    </w:rPr>
  </w:style>
  <w:style w:type="paragraph" w:customStyle="1" w:styleId="151">
    <w:name w:val="正文oo"/>
    <w:basedOn w:val="1"/>
    <w:link w:val="150"/>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2">
    <w:name w:val="GW-标题3 Char Char"/>
    <w:qFormat/>
    <w:uiPriority w:val="0"/>
    <w:rPr>
      <w:rFonts w:ascii="宋体" w:hAnsi="宋体"/>
      <w:b/>
      <w:bCs/>
      <w:kern w:val="2"/>
      <w:sz w:val="32"/>
      <w:szCs w:val="24"/>
    </w:rPr>
  </w:style>
  <w:style w:type="character" w:customStyle="1" w:styleId="153">
    <w:name w:val="自定义正文 Char"/>
    <w:qFormat/>
    <w:uiPriority w:val="0"/>
    <w:rPr>
      <w:rFonts w:ascii="仿宋_GB2312" w:eastAsia="仿宋_GB2312"/>
      <w:kern w:val="2"/>
      <w:sz w:val="24"/>
      <w:szCs w:val="24"/>
    </w:rPr>
  </w:style>
  <w:style w:type="paragraph" w:customStyle="1" w:styleId="154">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5">
    <w:name w:val="样式 GW-标题2 + 段前: 1 行 段后: 1 行"/>
    <w:basedOn w:val="84"/>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6">
    <w:name w:val="多级标题1"/>
    <w:basedOn w:val="2"/>
    <w:qFormat/>
    <w:uiPriority w:val="0"/>
    <w:pPr>
      <w:numPr>
        <w:ilvl w:val="0"/>
        <w:numId w:val="0"/>
      </w:numPr>
      <w:tabs>
        <w:tab w:val="left" w:pos="360"/>
      </w:tabs>
      <w:ind w:left="360" w:hanging="360" w:hangingChars="200"/>
    </w:pPr>
    <w:rPr>
      <w:rFonts w:ascii="Times New Roman" w:hAnsi="Times New Roman" w:cs="Times New Roman"/>
      <w:sz w:val="32"/>
      <w:szCs w:val="32"/>
    </w:rPr>
  </w:style>
  <w:style w:type="paragraph" w:customStyle="1" w:styleId="157">
    <w:name w:val="二级无"/>
    <w:basedOn w:val="1"/>
    <w:qFormat/>
    <w:uiPriority w:val="0"/>
    <w:pPr>
      <w:widowControl/>
      <w:tabs>
        <w:tab w:val="left" w:pos="420"/>
      </w:tabs>
      <w:jc w:val="left"/>
      <w:outlineLvl w:val="3"/>
    </w:pPr>
    <w:rPr>
      <w:rFonts w:ascii="宋体" w:hAnsi="Calibri" w:cs="黑体"/>
      <w:szCs w:val="21"/>
    </w:rPr>
  </w:style>
  <w:style w:type="paragraph" w:customStyle="1" w:styleId="158">
    <w:name w:val="B_项目符号"/>
    <w:basedOn w:val="1"/>
    <w:qFormat/>
    <w:uiPriority w:val="0"/>
    <w:pPr>
      <w:widowControl/>
      <w:overflowPunct w:val="0"/>
      <w:autoSpaceDE w:val="0"/>
      <w:autoSpaceDN w:val="0"/>
      <w:adjustRightInd w:val="0"/>
      <w:ind w:left="840" w:firstLine="200" w:firstLineChars="200"/>
    </w:pPr>
    <w:rPr>
      <w:rFonts w:ascii="宋体" w:hAnsi="Times New Roman" w:cs="Times New Roman"/>
      <w:kern w:val="0"/>
      <w:szCs w:val="20"/>
    </w:rPr>
  </w:style>
  <w:style w:type="paragraph" w:customStyle="1" w:styleId="159">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60">
    <w:name w:val="正文文本缩进 2 Char1"/>
    <w:basedOn w:val="44"/>
    <w:semiHidden/>
    <w:qFormat/>
    <w:uiPriority w:val="99"/>
  </w:style>
  <w:style w:type="paragraph" w:customStyle="1" w:styleId="161">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2">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3">
    <w:name w:val="样式 标题 2 + 首行缩进:  0.5 字符"/>
    <w:basedOn w:val="3"/>
    <w:qFormat/>
    <w:uiPriority w:val="0"/>
    <w:rPr>
      <w:rFonts w:ascii="Times New Roman" w:hAnsi="Times New Roman" w:eastAsia="宋体" w:cs="宋体"/>
      <w:sz w:val="30"/>
      <w:szCs w:val="20"/>
    </w:rPr>
  </w:style>
  <w:style w:type="paragraph" w:customStyle="1" w:styleId="164">
    <w:name w:val="多级标题3"/>
    <w:basedOn w:val="4"/>
    <w:qFormat/>
    <w:uiPriority w:val="0"/>
    <w:pPr>
      <w:numPr>
        <w:ilvl w:val="0"/>
        <w:numId w:val="7"/>
      </w:numPr>
      <w:tabs>
        <w:tab w:val="left" w:pos="1861"/>
      </w:tabs>
    </w:pPr>
    <w:rPr>
      <w:rFonts w:ascii="Times New Roman" w:hAnsi="Times New Roman" w:cs="Times New Roman"/>
      <w:b w:val="0"/>
      <w:sz w:val="24"/>
    </w:rPr>
  </w:style>
  <w:style w:type="paragraph" w:customStyle="1" w:styleId="165">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6">
    <w:name w:val="附图标题"/>
    <w:basedOn w:val="1"/>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7">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8">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9">
    <w:name w:val="A8操作手册正文"/>
    <w:basedOn w:val="1"/>
    <w:qFormat/>
    <w:uiPriority w:val="0"/>
    <w:pPr>
      <w:spacing w:line="360" w:lineRule="auto"/>
      <w:ind w:firstLine="420" w:firstLineChars="200"/>
    </w:pPr>
    <w:rPr>
      <w:rFonts w:ascii="Verdana" w:hAnsi="Verdana" w:cs="宋体"/>
      <w:szCs w:val="20"/>
    </w:rPr>
  </w:style>
  <w:style w:type="paragraph" w:customStyle="1" w:styleId="170">
    <w:name w:val="TOC 标题1"/>
    <w:basedOn w:val="2"/>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1">
    <w:name w:val="表格"/>
    <w:basedOn w:val="1"/>
    <w:qFormat/>
    <w:uiPriority w:val="0"/>
    <w:pPr>
      <w:spacing w:line="400" w:lineRule="exact"/>
    </w:pPr>
    <w:rPr>
      <w:rFonts w:ascii="Times New Roman" w:hAnsi="Times New Roman" w:cs="Times New Roman"/>
      <w:szCs w:val="24"/>
    </w:rPr>
  </w:style>
  <w:style w:type="paragraph" w:customStyle="1" w:styleId="172">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3">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4">
    <w:name w:val="多级标题2"/>
    <w:basedOn w:val="3"/>
    <w:qFormat/>
    <w:uiPriority w:val="0"/>
    <w:pPr>
      <w:numPr>
        <w:ilvl w:val="0"/>
        <w:numId w:val="7"/>
      </w:numPr>
      <w:tabs>
        <w:tab w:val="left" w:pos="1441"/>
      </w:tabs>
    </w:pPr>
    <w:rPr>
      <w:rFonts w:ascii="Cambria" w:hAnsi="Cambria" w:eastAsia="宋体" w:cs="Times New Roman"/>
      <w:sz w:val="30"/>
    </w:rPr>
  </w:style>
  <w:style w:type="paragraph" w:customStyle="1" w:styleId="175">
    <w:name w:val="段落标题"/>
    <w:basedOn w:val="1"/>
    <w:qFormat/>
    <w:uiPriority w:val="0"/>
    <w:pPr>
      <w:spacing w:line="360" w:lineRule="auto"/>
      <w:ind w:left="1440" w:hanging="420"/>
      <w:jc w:val="left"/>
    </w:pPr>
    <w:rPr>
      <w:rFonts w:ascii="宋体" w:hAnsi="宋体" w:cs="Times New Roman"/>
      <w:b/>
    </w:rPr>
  </w:style>
  <w:style w:type="paragraph" w:customStyle="1" w:styleId="176">
    <w:name w:val="Char1"/>
    <w:basedOn w:val="1"/>
    <w:qFormat/>
    <w:uiPriority w:val="0"/>
    <w:rPr>
      <w:rFonts w:ascii="Times New Roman" w:hAnsi="Times New Roman" w:cs="Times New Roman"/>
      <w:szCs w:val="21"/>
    </w:rPr>
  </w:style>
  <w:style w:type="paragraph" w:customStyle="1" w:styleId="177">
    <w:name w:val="多级标题4"/>
    <w:basedOn w:val="5"/>
    <w:qFormat/>
    <w:uiPriority w:val="0"/>
    <w:pPr>
      <w:numPr>
        <w:ilvl w:val="0"/>
        <w:numId w:val="7"/>
      </w:numPr>
    </w:pPr>
    <w:rPr>
      <w:rFonts w:ascii="Cambria" w:hAnsi="Cambria" w:eastAsia="宋体" w:cs="Times New Roman"/>
      <w:b w:val="0"/>
    </w:rPr>
  </w:style>
  <w:style w:type="paragraph" w:customStyle="1" w:styleId="178">
    <w:name w:val="多级标题5"/>
    <w:basedOn w:val="6"/>
    <w:qFormat/>
    <w:uiPriority w:val="0"/>
    <w:pPr>
      <w:numPr>
        <w:ilvl w:val="0"/>
        <w:numId w:val="0"/>
      </w:numPr>
      <w:ind w:left="360" w:hanging="360" w:hangingChars="200"/>
    </w:pPr>
    <w:rPr>
      <w:rFonts w:ascii="Times New Roman" w:hAnsi="Times New Roman" w:cs="Times New Roman"/>
      <w:b w:val="0"/>
      <w:sz w:val="24"/>
    </w:rPr>
  </w:style>
  <w:style w:type="paragraph" w:customStyle="1" w:styleId="179">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80">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1">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2">
    <w:name w:val="123123123 Char Char"/>
    <w:qFormat/>
    <w:uiPriority w:val="0"/>
    <w:rPr>
      <w:rFonts w:ascii="宋体" w:hAnsi="宋体"/>
      <w:sz w:val="24"/>
    </w:rPr>
  </w:style>
  <w:style w:type="character" w:customStyle="1" w:styleId="183">
    <w:name w:val="纯文本字符1"/>
    <w:basedOn w:val="44"/>
    <w:semiHidden/>
    <w:qFormat/>
    <w:uiPriority w:val="99"/>
    <w:rPr>
      <w:rFonts w:ascii="宋体" w:hAnsi="Courier" w:eastAsia="宋体" w:cs="Times New Roman"/>
      <w:sz w:val="24"/>
      <w:szCs w:val="24"/>
    </w:rPr>
  </w:style>
  <w:style w:type="paragraph" w:customStyle="1" w:styleId="184">
    <w:name w:val="列出段落3"/>
    <w:basedOn w:val="1"/>
    <w:qFormat/>
    <w:uiPriority w:val="0"/>
    <w:pPr>
      <w:spacing w:line="360" w:lineRule="auto"/>
      <w:ind w:firstLine="420" w:firstLineChars="200"/>
    </w:pPr>
    <w:rPr>
      <w:rFonts w:ascii="Calibri" w:hAnsi="Calibri" w:cs="Times New Roman"/>
    </w:rPr>
  </w:style>
  <w:style w:type="paragraph" w:customStyle="1" w:styleId="185">
    <w:name w:val="修订版本号1"/>
    <w:semiHidden/>
    <w:qFormat/>
    <w:uiPriority w:val="99"/>
    <w:rPr>
      <w:rFonts w:asciiTheme="minorHAnsi" w:hAnsiTheme="minorHAnsi" w:eastAsiaTheme="minorEastAsia" w:cstheme="minorBidi"/>
      <w:kern w:val="2"/>
      <w:sz w:val="21"/>
      <w:szCs w:val="22"/>
      <w:lang w:val="en-US" w:eastAsia="zh-CN" w:bidi="ar-SA"/>
    </w:rPr>
  </w:style>
  <w:style w:type="paragraph" w:customStyle="1" w:styleId="186">
    <w:name w:val="Char Char Char Char Char Char Char1 Char"/>
    <w:basedOn w:val="1"/>
    <w:qFormat/>
    <w:uiPriority w:val="0"/>
    <w:rPr>
      <w:rFonts w:ascii="Tahoma" w:hAnsi="Tahoma" w:cs="Times New Roman"/>
      <w:szCs w:val="20"/>
    </w:rPr>
  </w:style>
  <w:style w:type="paragraph" w:customStyle="1" w:styleId="187">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8">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9">
    <w:name w:val="p17"/>
    <w:basedOn w:val="1"/>
    <w:qFormat/>
    <w:uiPriority w:val="99"/>
    <w:pPr>
      <w:widowControl/>
    </w:pPr>
    <w:rPr>
      <w:rFonts w:ascii="Calibri" w:hAnsi="Calibri" w:cs="Times New Roman"/>
      <w:color w:val="000000"/>
      <w:kern w:val="0"/>
      <w:sz w:val="21"/>
      <w:szCs w:val="21"/>
    </w:rPr>
  </w:style>
  <w:style w:type="paragraph" w:customStyle="1" w:styleId="190">
    <w:name w:val="列出段落4"/>
    <w:basedOn w:val="1"/>
    <w:unhideWhenUsed/>
    <w:qFormat/>
    <w:uiPriority w:val="99"/>
    <w:pPr>
      <w:ind w:firstLine="420" w:firstLineChars="200"/>
    </w:pPr>
  </w:style>
  <w:style w:type="paragraph" w:customStyle="1" w:styleId="191">
    <w:name w:val="列出段落5"/>
    <w:basedOn w:val="1"/>
    <w:unhideWhenUsed/>
    <w:qFormat/>
    <w:uiPriority w:val="99"/>
    <w:pPr>
      <w:ind w:firstLine="420" w:firstLineChars="200"/>
    </w:pPr>
  </w:style>
  <w:style w:type="paragraph" w:customStyle="1" w:styleId="192">
    <w:name w:val="列出段落6"/>
    <w:basedOn w:val="1"/>
    <w:unhideWhenUsed/>
    <w:qFormat/>
    <w:uiPriority w:val="99"/>
    <w:pPr>
      <w:ind w:firstLine="420" w:firstLineChars="200"/>
    </w:pPr>
  </w:style>
  <w:style w:type="paragraph" w:customStyle="1" w:styleId="193">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4">
    <w:name w:val="TOC 标题2"/>
    <w:basedOn w:val="2"/>
    <w:unhideWhenUsed/>
    <w:qFormat/>
    <w:uiPriority w:val="39"/>
    <w:pPr>
      <w:widowControl/>
      <w:numPr>
        <w:ilvl w:val="0"/>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95">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6">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7">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
    <w:name w:val="列出段落7"/>
    <w:basedOn w:val="1"/>
    <w:unhideWhenUsed/>
    <w:qFormat/>
    <w:uiPriority w:val="99"/>
    <w:pPr>
      <w:ind w:firstLine="420" w:firstLineChars="200"/>
    </w:pPr>
  </w:style>
  <w:style w:type="character" w:customStyle="1" w:styleId="199">
    <w:name w:val="font51"/>
    <w:basedOn w:val="44"/>
    <w:qFormat/>
    <w:uiPriority w:val="0"/>
    <w:rPr>
      <w:rFonts w:hint="eastAsia" w:ascii="宋体" w:hAnsi="宋体" w:eastAsia="宋体" w:cs="宋体"/>
      <w:b/>
      <w:color w:val="000000"/>
      <w:sz w:val="21"/>
      <w:szCs w:val="21"/>
      <w:u w:val="none"/>
    </w:rPr>
  </w:style>
  <w:style w:type="character" w:customStyle="1" w:styleId="200">
    <w:name w:val="font31"/>
    <w:basedOn w:val="44"/>
    <w:qFormat/>
    <w:uiPriority w:val="0"/>
    <w:rPr>
      <w:rFonts w:hint="eastAsia" w:ascii="宋体" w:hAnsi="宋体" w:eastAsia="宋体" w:cs="宋体"/>
      <w:color w:val="000000"/>
      <w:sz w:val="20"/>
      <w:szCs w:val="20"/>
      <w:u w:val="none"/>
    </w:rPr>
  </w:style>
  <w:style w:type="character" w:customStyle="1" w:styleId="201">
    <w:name w:val="font41"/>
    <w:basedOn w:val="44"/>
    <w:qFormat/>
    <w:uiPriority w:val="0"/>
    <w:rPr>
      <w:rFonts w:hint="default" w:ascii="Times New Roman" w:hAnsi="Times New Roman" w:cs="Times New Roman"/>
      <w:color w:val="000000"/>
      <w:sz w:val="20"/>
      <w:szCs w:val="20"/>
      <w:u w:val="none"/>
    </w:rPr>
  </w:style>
  <w:style w:type="paragraph" w:styleId="202">
    <w:name w:val="List Paragraph"/>
    <w:basedOn w:val="1"/>
    <w:unhideWhenUsed/>
    <w:qFormat/>
    <w:uiPriority w:val="99"/>
    <w:pPr>
      <w:ind w:firstLine="420" w:firstLineChars="200"/>
    </w:pPr>
  </w:style>
  <w:style w:type="character" w:customStyle="1" w:styleId="203">
    <w:name w:val="无 A"/>
    <w:qFormat/>
    <w:uiPriority w:val="0"/>
  </w:style>
  <w:style w:type="character" w:customStyle="1" w:styleId="204">
    <w:name w:val="font81"/>
    <w:basedOn w:val="44"/>
    <w:qFormat/>
    <w:uiPriority w:val="0"/>
    <w:rPr>
      <w:rFonts w:ascii="Arial" w:hAnsi="Arial" w:cs="Arial"/>
      <w:color w:val="000000"/>
      <w:sz w:val="20"/>
      <w:szCs w:val="20"/>
      <w:u w:val="none"/>
    </w:rPr>
  </w:style>
  <w:style w:type="character" w:customStyle="1" w:styleId="205">
    <w:name w:val="font01"/>
    <w:basedOn w:val="44"/>
    <w:qFormat/>
    <w:uiPriority w:val="0"/>
    <w:rPr>
      <w:rFonts w:hint="eastAsia" w:ascii="宋体" w:hAnsi="宋体" w:eastAsia="宋体" w:cs="宋体"/>
      <w:color w:val="000000"/>
      <w:sz w:val="20"/>
      <w:szCs w:val="20"/>
      <w:u w:val="none"/>
    </w:rPr>
  </w:style>
  <w:style w:type="paragraph" w:customStyle="1" w:styleId="206">
    <w:name w:val="文一"/>
    <w:basedOn w:val="1"/>
    <w:qFormat/>
    <w:uiPriority w:val="0"/>
    <w:pPr>
      <w:topLinePunct/>
      <w:adjustRightInd w:val="0"/>
      <w:snapToGrid w:val="0"/>
      <w:spacing w:line="360" w:lineRule="auto"/>
      <w:ind w:firstLine="200" w:firstLineChars="200"/>
    </w:pPr>
    <w:rPr>
      <w:rFonts w:ascii="Times New Roman" w:hAnsi="Times New Roman" w:cs="Times New Roman"/>
      <w:spacing w:val="4"/>
      <w:kern w:val="0"/>
      <w:szCs w:val="24"/>
    </w:rPr>
  </w:style>
  <w:style w:type="paragraph" w:customStyle="1" w:styleId="207">
    <w:name w:val="sbg"/>
    <w:basedOn w:val="1"/>
    <w:qFormat/>
    <w:uiPriority w:val="0"/>
    <w:pPr>
      <w:jc w:val="center"/>
    </w:pPr>
    <w:rPr>
      <w:rFonts w:ascii="宋体" w:hAnsi="宋体" w:cs="宋体"/>
      <w:b/>
      <w:bCs/>
      <w:kern w:val="0"/>
      <w:szCs w:val="18"/>
    </w:rPr>
  </w:style>
  <w:style w:type="character" w:customStyle="1" w:styleId="208">
    <w:name w:val="fontstyle01"/>
    <w:basedOn w:val="44"/>
    <w:qFormat/>
    <w:uiPriority w:val="0"/>
    <w:rPr>
      <w:rFonts w:hint="default" w:ascii="仿宋" w:hAnsi="仿宋"/>
      <w:color w:val="000000"/>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34</Pages>
  <Words>4622</Words>
  <Characters>5068</Characters>
  <Lines>110</Lines>
  <Paragraphs>31</Paragraphs>
  <TotalTime>8</TotalTime>
  <ScaleCrop>false</ScaleCrop>
  <LinksUpToDate>false</LinksUpToDate>
  <CharactersWithSpaces>5150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2018-11-28T20:19:00Z</dcterms:created>
  <dc:creator>微软用户</dc:creator>
  <cp:lastModifiedBy>Smile</cp:lastModifiedBy>
  <cp:lastPrinted>2025-10-21T17:08:00Z</cp:lastPrinted>
  <dcterms:modified xsi:type="dcterms:W3CDTF">2026-05-12T03:24:07Z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5F78302DD2EB4C5B9758703B822FD7DB</vt:lpwstr>
  </property>
  <property fmtid="{D5CDD505-2E9C-101B-9397-08002B2CF9AE}" pid="4" name="KSOTemplateDocerSaveRecord">
    <vt:lpwstr>eyJoZGlkIjoiOGU3NDc0Mzk1M2NmYmE2ODEzOWIzODU3MDE0YjA1ODgiLCJ1c2VySWQiOiIxMDAzMjQ3NTA2In0=</vt:lpwstr>
  </property>
</Properties>
</file>