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9713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_GBK" w:hAnsi="方正小标宋_GBK" w:eastAsia="方正小标宋_GBK" w:cs="方正小标宋_GBK"/>
          <w:b w:val="0"/>
          <w:sz w:val="24"/>
          <w:szCs w:val="24"/>
          <w:lang w:val="en-US" w:eastAsia="zh-CN"/>
        </w:rPr>
      </w:pPr>
      <w:r>
        <w:rPr>
          <w:rFonts w:hint="eastAsia" w:ascii="方正小标宋_GBK" w:hAnsi="方正小标宋_GBK" w:eastAsia="方正小标宋_GBK" w:cs="方正小标宋_GBK"/>
          <w:b w:val="0"/>
          <w:sz w:val="24"/>
          <w:szCs w:val="24"/>
          <w:lang w:val="en-US" w:eastAsia="zh-CN"/>
        </w:rPr>
        <w:t>重庆财经学院</w:t>
      </w:r>
    </w:p>
    <w:p w14:paraId="185F4E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_GBK" w:hAnsi="方正小标宋_GBK" w:eastAsia="方正小标宋_GBK" w:cs="方正小标宋_GBK"/>
          <w:b w:val="0"/>
          <w:sz w:val="24"/>
          <w:szCs w:val="24"/>
          <w:lang w:val="en-US" w:eastAsia="zh-CN"/>
        </w:rPr>
      </w:pPr>
      <w:r>
        <w:rPr>
          <w:rFonts w:hint="eastAsia" w:ascii="方正小标宋_GBK" w:hAnsi="方正小标宋_GBK" w:eastAsia="方正小标宋_GBK" w:cs="方正小标宋_GBK"/>
          <w:b w:val="0"/>
          <w:sz w:val="24"/>
          <w:szCs w:val="24"/>
          <w:lang w:val="en-US" w:eastAsia="zh-CN"/>
        </w:rPr>
        <w:t>健康老龄化与智慧康养、银发经济与养老产业研究指南（2025）</w:t>
      </w:r>
    </w:p>
    <w:p w14:paraId="3BA56AC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Regular" w:hAnsi="Times New Roman Regular" w:eastAsia="方正仿宋_GBK" w:cs="Times New Roman Regular"/>
          <w:b w:val="0"/>
          <w:sz w:val="24"/>
          <w:szCs w:val="24"/>
          <w:lang w:eastAsia="zh-CN"/>
        </w:rPr>
      </w:pPr>
    </w:p>
    <w:p w14:paraId="527D5F4B">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482" w:firstLineChars="200"/>
        <w:textAlignment w:val="auto"/>
        <w:rPr>
          <w:rFonts w:hint="eastAsia" w:ascii="方正楷体_GB2312" w:hAnsi="方正楷体_GB2312" w:eastAsia="方正楷体_GB2312" w:cs="方正楷体_GB2312"/>
          <w:b/>
          <w:bCs w:val="0"/>
          <w:sz w:val="24"/>
          <w:szCs w:val="24"/>
          <w:lang w:val="en-US" w:eastAsia="zh-CN"/>
        </w:rPr>
      </w:pPr>
      <w:r>
        <w:rPr>
          <w:rFonts w:hint="eastAsia" w:ascii="方正楷体_GB2312" w:hAnsi="方正楷体_GB2312" w:eastAsia="方正楷体_GB2312" w:cs="方正楷体_GB2312"/>
          <w:b/>
          <w:bCs w:val="0"/>
          <w:sz w:val="24"/>
          <w:szCs w:val="24"/>
          <w:lang w:val="en-US" w:eastAsia="zh-CN"/>
        </w:rPr>
        <w:t>产学研交叉融合类</w:t>
      </w:r>
    </w:p>
    <w:p w14:paraId="730831FC">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lang w:val="en-US" w:eastAsia="zh-CN"/>
        </w:rPr>
      </w:pPr>
      <w:r>
        <w:rPr>
          <w:rFonts w:hint="eastAsia" w:ascii="Times New Roman Regular" w:hAnsi="Times New Roman Regular" w:eastAsia="方正仿宋_GBK" w:cs="Times New Roman Regular"/>
          <w:b w:val="0"/>
          <w:sz w:val="24"/>
          <w:szCs w:val="24"/>
          <w:lang w:val="en-US" w:eastAsia="zh-CN"/>
        </w:rPr>
        <w:t>（一）</w:t>
      </w:r>
      <w:r>
        <w:rPr>
          <w:rFonts w:hint="default" w:ascii="Times New Roman Regular" w:hAnsi="Times New Roman Regular" w:eastAsia="方正仿宋_GBK" w:cs="Times New Roman Regular"/>
          <w:b w:val="0"/>
          <w:sz w:val="24"/>
          <w:szCs w:val="24"/>
          <w:lang w:val="en-US" w:eastAsia="zh-CN"/>
        </w:rPr>
        <w:t>基于可穿戴设备与AI算法的居家老年人健康风险预警服务模式研究</w:t>
      </w:r>
    </w:p>
    <w:p w14:paraId="24DC7020">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lang w:val="en-US" w:eastAsia="zh-CN"/>
        </w:rPr>
      </w:pPr>
      <w:r>
        <w:rPr>
          <w:rFonts w:hint="eastAsia" w:ascii="Times New Roman Regular" w:hAnsi="Times New Roman Regular" w:eastAsia="方正仿宋_GBK" w:cs="Times New Roman Regular"/>
          <w:b w:val="0"/>
          <w:sz w:val="24"/>
          <w:szCs w:val="24"/>
          <w:lang w:val="en-US" w:eastAsia="zh-CN"/>
        </w:rPr>
        <w:t>（二）</w:t>
      </w:r>
      <w:r>
        <w:rPr>
          <w:rFonts w:hint="default" w:ascii="Times New Roman Regular" w:hAnsi="Times New Roman Regular" w:eastAsia="方正仿宋_GBK" w:cs="Times New Roman Regular"/>
          <w:b w:val="0"/>
          <w:sz w:val="24"/>
          <w:szCs w:val="24"/>
          <w:lang w:val="en-US" w:eastAsia="zh-CN"/>
        </w:rPr>
        <w:t>“家庭养老床位+家庭病床”联动服务的市场化运营机制与支付路径研究</w:t>
      </w:r>
    </w:p>
    <w:p w14:paraId="2BEEAA63">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lang w:val="en-US" w:eastAsia="zh-CN"/>
        </w:rPr>
      </w:pPr>
      <w:r>
        <w:rPr>
          <w:rFonts w:hint="eastAsia" w:ascii="Times New Roman Regular" w:hAnsi="Times New Roman Regular" w:eastAsia="方正仿宋_GBK" w:cs="Times New Roman Regular"/>
          <w:b w:val="0"/>
          <w:sz w:val="24"/>
          <w:szCs w:val="24"/>
          <w:lang w:val="en-US" w:eastAsia="zh-CN"/>
        </w:rPr>
        <w:t>（三）</w:t>
      </w:r>
      <w:r>
        <w:rPr>
          <w:rFonts w:hint="default" w:ascii="Times New Roman Regular" w:hAnsi="Times New Roman Regular" w:eastAsia="方正仿宋_GBK" w:cs="Times New Roman Regular"/>
          <w:b w:val="0"/>
          <w:sz w:val="24"/>
          <w:szCs w:val="24"/>
          <w:lang w:val="en-US" w:eastAsia="zh-CN"/>
        </w:rPr>
        <w:t>社区智慧康养服务站的标准化建设与连锁化运营模式研究</w:t>
      </w:r>
    </w:p>
    <w:p w14:paraId="79BCFA08">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lang w:val="en-US" w:eastAsia="zh-CN"/>
        </w:rPr>
      </w:pPr>
      <w:r>
        <w:rPr>
          <w:rFonts w:hint="eastAsia" w:ascii="Times New Roman Regular" w:hAnsi="Times New Roman Regular" w:eastAsia="方正仿宋_GBK" w:cs="Times New Roman Regular"/>
          <w:b w:val="0"/>
          <w:sz w:val="24"/>
          <w:szCs w:val="24"/>
          <w:lang w:val="en-US" w:eastAsia="zh-CN"/>
        </w:rPr>
        <w:t>（四）</w:t>
      </w:r>
      <w:r>
        <w:rPr>
          <w:rFonts w:hint="default" w:ascii="Times New Roman Regular" w:hAnsi="Times New Roman Regular" w:eastAsia="方正仿宋_GBK" w:cs="Times New Roman Regular"/>
          <w:b w:val="0"/>
          <w:sz w:val="24"/>
          <w:szCs w:val="24"/>
          <w:lang w:val="en-US" w:eastAsia="zh-CN"/>
        </w:rPr>
        <w:t>适老化智能产品（如服务机器人、语音交互终端）的本地化应用场景开发与市场推广策略研究</w:t>
      </w:r>
    </w:p>
    <w:p w14:paraId="1292513D">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lang w:val="en-US" w:eastAsia="zh-CN"/>
        </w:rPr>
      </w:pPr>
      <w:r>
        <w:rPr>
          <w:rFonts w:hint="eastAsia" w:ascii="Times New Roman Regular" w:hAnsi="Times New Roman Regular" w:eastAsia="方正仿宋_GBK" w:cs="Times New Roman Regular"/>
          <w:b w:val="0"/>
          <w:sz w:val="24"/>
          <w:szCs w:val="24"/>
          <w:lang w:val="en-US" w:eastAsia="zh-CN"/>
        </w:rPr>
        <w:t>（五）</w:t>
      </w:r>
      <w:r>
        <w:rPr>
          <w:rFonts w:hint="default" w:ascii="Times New Roman Regular" w:hAnsi="Times New Roman Regular" w:eastAsia="方正仿宋_GBK" w:cs="Times New Roman Regular"/>
          <w:b w:val="0"/>
          <w:sz w:val="24"/>
          <w:szCs w:val="24"/>
          <w:lang w:val="en-US" w:eastAsia="zh-CN"/>
        </w:rPr>
        <w:t>旅居康养目的地建设与“候鸟式”养老服务供应链整合研究</w:t>
      </w:r>
    </w:p>
    <w:p w14:paraId="6B29552F">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lang w:val="en-US" w:eastAsia="zh-CN"/>
        </w:rPr>
      </w:pPr>
      <w:r>
        <w:rPr>
          <w:rFonts w:hint="eastAsia" w:ascii="Times New Roman Regular" w:hAnsi="Times New Roman Regular" w:eastAsia="方正仿宋_GBK" w:cs="Times New Roman Regular"/>
          <w:b w:val="0"/>
          <w:sz w:val="24"/>
          <w:szCs w:val="24"/>
          <w:lang w:val="en-US" w:eastAsia="zh-CN"/>
        </w:rPr>
        <w:t>（六）</w:t>
      </w:r>
      <w:r>
        <w:rPr>
          <w:rFonts w:hint="default" w:ascii="Times New Roman Regular" w:hAnsi="Times New Roman Regular" w:eastAsia="方正仿宋_GBK" w:cs="Times New Roman Regular"/>
          <w:b w:val="0"/>
          <w:sz w:val="24"/>
          <w:szCs w:val="24"/>
          <w:lang w:val="en-US" w:eastAsia="zh-CN"/>
        </w:rPr>
        <w:t>银发消费平台建设与老年友好型电商服务模式创新研究</w:t>
      </w:r>
    </w:p>
    <w:p w14:paraId="71326EA8">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lang w:val="en-US" w:eastAsia="zh-CN"/>
        </w:rPr>
      </w:pPr>
      <w:r>
        <w:rPr>
          <w:rFonts w:hint="eastAsia" w:ascii="Times New Roman Regular" w:hAnsi="Times New Roman Regular" w:eastAsia="方正仿宋_GBK" w:cs="Times New Roman Regular"/>
          <w:b w:val="0"/>
          <w:sz w:val="24"/>
          <w:szCs w:val="24"/>
          <w:lang w:val="en-US" w:eastAsia="zh-CN"/>
        </w:rPr>
        <w:t>（七）</w:t>
      </w:r>
      <w:r>
        <w:rPr>
          <w:rFonts w:hint="default" w:ascii="Times New Roman Regular" w:hAnsi="Times New Roman Regular" w:eastAsia="方正仿宋_GBK" w:cs="Times New Roman Regular"/>
          <w:b w:val="0"/>
          <w:sz w:val="24"/>
          <w:szCs w:val="24"/>
          <w:lang w:val="en-US" w:eastAsia="zh-CN"/>
        </w:rPr>
        <w:t>养老产业“产学研用”协同创新联合体运行机制与政策支持体系研究</w:t>
      </w:r>
    </w:p>
    <w:p w14:paraId="5439BF17">
      <w:pPr>
        <w:keepNext w:val="0"/>
        <w:keepLines w:val="0"/>
        <w:pageBreakBefore w:val="0"/>
        <w:widowControl w:val="0"/>
        <w:kinsoku/>
        <w:wordWrap/>
        <w:overflowPunct/>
        <w:topLinePunct w:val="0"/>
        <w:autoSpaceDE/>
        <w:autoSpaceDN/>
        <w:bidi w:val="0"/>
        <w:adjustRightInd/>
        <w:snapToGrid/>
        <w:spacing w:line="400" w:lineRule="exact"/>
        <w:ind w:left="0" w:leftChars="0" w:firstLine="482" w:firstLineChars="200"/>
        <w:textAlignment w:val="auto"/>
        <w:rPr>
          <w:rFonts w:hint="eastAsia" w:ascii="方正楷体_GB2312" w:hAnsi="方正楷体_GB2312" w:eastAsia="方正楷体_GB2312" w:cs="方正楷体_GB2312"/>
          <w:b/>
          <w:bCs w:val="0"/>
          <w:sz w:val="24"/>
          <w:szCs w:val="24"/>
          <w:lang w:val="en-US" w:eastAsia="zh-CN"/>
        </w:rPr>
      </w:pPr>
      <w:r>
        <w:rPr>
          <w:rFonts w:hint="eastAsia" w:ascii="方正楷体_GB2312" w:hAnsi="方正楷体_GB2312" w:eastAsia="方正楷体_GB2312" w:cs="方正楷体_GB2312"/>
          <w:b/>
          <w:bCs w:val="0"/>
          <w:sz w:val="24"/>
          <w:szCs w:val="24"/>
          <w:lang w:val="en-US" w:eastAsia="zh-CN"/>
        </w:rPr>
        <w:t>二</w:t>
      </w:r>
      <w:r>
        <w:rPr>
          <w:rFonts w:hint="eastAsia" w:ascii="Times New Roman Regular" w:hAnsi="Times New Roman Regular" w:eastAsia="方正仿宋_GBK" w:cs="Times New Roman Regular"/>
          <w:b w:val="0"/>
          <w:sz w:val="24"/>
          <w:szCs w:val="24"/>
          <w:lang w:val="en-US" w:eastAsia="zh-CN"/>
        </w:rPr>
        <w:t>、</w:t>
      </w:r>
      <w:r>
        <w:rPr>
          <w:rFonts w:hint="eastAsia" w:ascii="方正楷体_GB2312" w:hAnsi="方正楷体_GB2312" w:eastAsia="方正楷体_GB2312" w:cs="方正楷体_GB2312"/>
          <w:b/>
          <w:bCs w:val="0"/>
          <w:sz w:val="24"/>
          <w:szCs w:val="24"/>
          <w:lang w:val="en-US" w:eastAsia="zh-CN"/>
        </w:rPr>
        <w:t>居家养老与普惠养老服务类</w:t>
      </w:r>
    </w:p>
    <w:p w14:paraId="02E45DD5">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lang w:val="en-US" w:eastAsia="zh-CN"/>
        </w:rPr>
      </w:pPr>
      <w:r>
        <w:rPr>
          <w:rFonts w:hint="eastAsia" w:ascii="Times New Roman Regular" w:hAnsi="Times New Roman Regular" w:eastAsia="方正仿宋_GBK" w:cs="Times New Roman Regular"/>
          <w:b w:val="0"/>
          <w:sz w:val="24"/>
          <w:szCs w:val="24"/>
          <w:lang w:val="en-US" w:eastAsia="zh-CN"/>
        </w:rPr>
        <w:t>（一）</w:t>
      </w:r>
      <w:r>
        <w:rPr>
          <w:rFonts w:hint="default" w:ascii="Times New Roman Regular" w:hAnsi="Times New Roman Regular" w:eastAsia="方正仿宋_GBK" w:cs="Times New Roman Regular"/>
          <w:b w:val="0"/>
          <w:sz w:val="24"/>
          <w:szCs w:val="24"/>
          <w:lang w:val="en-US" w:eastAsia="zh-CN"/>
        </w:rPr>
        <w:t>普惠性养老机构认定标准体系构建与动态调整机制研究</w:t>
      </w:r>
    </w:p>
    <w:p w14:paraId="3F91E185">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lang w:val="en-US" w:eastAsia="zh-CN"/>
        </w:rPr>
      </w:pPr>
      <w:r>
        <w:rPr>
          <w:rFonts w:hint="eastAsia" w:ascii="Times New Roman Regular" w:hAnsi="Times New Roman Regular" w:eastAsia="方正仿宋_GBK" w:cs="Times New Roman Regular"/>
          <w:b w:val="0"/>
          <w:sz w:val="24"/>
          <w:szCs w:val="24"/>
          <w:lang w:val="en-US" w:eastAsia="zh-CN"/>
        </w:rPr>
        <w:t>（二）</w:t>
      </w:r>
      <w:r>
        <w:rPr>
          <w:rFonts w:hint="default" w:ascii="Times New Roman Regular" w:hAnsi="Times New Roman Regular" w:eastAsia="方正仿宋_GBK" w:cs="Times New Roman Regular"/>
          <w:b w:val="0"/>
          <w:sz w:val="24"/>
          <w:szCs w:val="24"/>
          <w:lang w:val="en-US" w:eastAsia="zh-CN"/>
        </w:rPr>
        <w:t>普惠养老机构分类扶持政策效能评估与优化路径研究</w:t>
      </w:r>
    </w:p>
    <w:p w14:paraId="00FFBDF5">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lang w:val="en-US" w:eastAsia="zh-CN"/>
        </w:rPr>
      </w:pPr>
      <w:r>
        <w:rPr>
          <w:rFonts w:hint="eastAsia" w:ascii="Times New Roman Regular" w:hAnsi="Times New Roman Regular" w:eastAsia="方正仿宋_GBK" w:cs="Times New Roman Regular"/>
          <w:b w:val="0"/>
          <w:sz w:val="24"/>
          <w:szCs w:val="24"/>
          <w:lang w:val="en-US" w:eastAsia="zh-CN"/>
        </w:rPr>
        <w:t>（三）</w:t>
      </w:r>
      <w:r>
        <w:rPr>
          <w:rFonts w:hint="default" w:ascii="Times New Roman Regular" w:hAnsi="Times New Roman Regular" w:eastAsia="方正仿宋_GBK" w:cs="Times New Roman Regular"/>
          <w:b w:val="0"/>
          <w:sz w:val="24"/>
          <w:szCs w:val="24"/>
          <w:lang w:val="en-US" w:eastAsia="zh-CN"/>
        </w:rPr>
        <w:t>社区嵌入式普惠养老服务供给模式创新与可持续运营机制研究</w:t>
      </w:r>
    </w:p>
    <w:p w14:paraId="7CA0A782">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lang w:val="en-US" w:eastAsia="zh-CN"/>
        </w:rPr>
      </w:pPr>
      <w:r>
        <w:rPr>
          <w:rFonts w:hint="eastAsia" w:ascii="Times New Roman Regular" w:hAnsi="Times New Roman Regular" w:eastAsia="方正仿宋_GBK" w:cs="Times New Roman Regular"/>
          <w:b w:val="0"/>
          <w:sz w:val="24"/>
          <w:szCs w:val="24"/>
          <w:lang w:val="en-US" w:eastAsia="zh-CN"/>
        </w:rPr>
        <w:t>（四）</w:t>
      </w:r>
      <w:r>
        <w:rPr>
          <w:rFonts w:hint="default" w:ascii="Times New Roman Regular" w:hAnsi="Times New Roman Regular" w:eastAsia="方正仿宋_GBK" w:cs="Times New Roman Regular"/>
          <w:b w:val="0"/>
          <w:sz w:val="24"/>
          <w:szCs w:val="24"/>
          <w:lang w:val="en-US" w:eastAsia="zh-CN"/>
        </w:rPr>
        <w:t>居家养老“六助”（助餐、助浴、助洁、助行、助医、助急）服务标准体系构建与质量监管研究</w:t>
      </w:r>
    </w:p>
    <w:p w14:paraId="1861CB12">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lang w:val="en-US" w:eastAsia="zh-CN"/>
        </w:rPr>
      </w:pPr>
      <w:r>
        <w:rPr>
          <w:rFonts w:hint="eastAsia" w:ascii="Times New Roman Regular" w:hAnsi="Times New Roman Regular" w:eastAsia="方正仿宋_GBK" w:cs="Times New Roman Regular"/>
          <w:b w:val="0"/>
          <w:sz w:val="24"/>
          <w:szCs w:val="24"/>
          <w:lang w:val="en-US" w:eastAsia="zh-CN"/>
        </w:rPr>
        <w:t>（五）</w:t>
      </w:r>
      <w:r>
        <w:rPr>
          <w:rFonts w:hint="default" w:ascii="Times New Roman Regular" w:hAnsi="Times New Roman Regular" w:eastAsia="方正仿宋_GBK" w:cs="Times New Roman Regular"/>
          <w:b w:val="0"/>
          <w:sz w:val="24"/>
          <w:szCs w:val="24"/>
          <w:lang w:val="en-US" w:eastAsia="zh-CN"/>
        </w:rPr>
        <w:t>普惠养老机构服务定价形成机制与政府指导价实施效果研究</w:t>
      </w:r>
    </w:p>
    <w:p w14:paraId="4FB492AE">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lang w:val="en-US" w:eastAsia="zh-CN"/>
        </w:rPr>
      </w:pPr>
      <w:r>
        <w:rPr>
          <w:rFonts w:hint="eastAsia" w:ascii="Times New Roman Regular" w:hAnsi="Times New Roman Regular" w:eastAsia="方正仿宋_GBK" w:cs="Times New Roman Regular"/>
          <w:b w:val="0"/>
          <w:sz w:val="24"/>
          <w:szCs w:val="24"/>
          <w:lang w:val="en-US" w:eastAsia="zh-CN"/>
        </w:rPr>
        <w:t>（六）</w:t>
      </w:r>
      <w:r>
        <w:rPr>
          <w:rFonts w:hint="default" w:ascii="Times New Roman Regular" w:hAnsi="Times New Roman Regular" w:eastAsia="方正仿宋_GBK" w:cs="Times New Roman Regular"/>
          <w:b w:val="0"/>
          <w:sz w:val="24"/>
          <w:szCs w:val="24"/>
          <w:lang w:val="en-US" w:eastAsia="zh-CN"/>
        </w:rPr>
        <w:t>家庭养老床位与社区普惠服务衔接机制及成本分担模式研究</w:t>
      </w:r>
    </w:p>
    <w:p w14:paraId="60C54770">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lang w:val="en-US" w:eastAsia="zh-CN"/>
        </w:rPr>
      </w:pPr>
      <w:r>
        <w:rPr>
          <w:rFonts w:hint="eastAsia" w:ascii="Times New Roman Regular" w:hAnsi="Times New Roman Regular" w:eastAsia="方正仿宋_GBK" w:cs="Times New Roman Regular"/>
          <w:b w:val="0"/>
          <w:sz w:val="24"/>
          <w:szCs w:val="24"/>
          <w:lang w:val="en-US" w:eastAsia="zh-CN"/>
        </w:rPr>
        <w:t>（七）</w:t>
      </w:r>
      <w:r>
        <w:rPr>
          <w:rFonts w:hint="default" w:ascii="Times New Roman Regular" w:hAnsi="Times New Roman Regular" w:eastAsia="方正仿宋_GBK" w:cs="Times New Roman Regular"/>
          <w:b w:val="0"/>
          <w:sz w:val="24"/>
          <w:szCs w:val="24"/>
          <w:lang w:val="en-US" w:eastAsia="zh-CN"/>
        </w:rPr>
        <w:t>农村地区普惠养老服务可及性提升路径与城乡资源联动机制研究</w:t>
      </w:r>
    </w:p>
    <w:p w14:paraId="3F502A85">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lang w:val="en-US" w:eastAsia="zh-CN"/>
        </w:rPr>
      </w:pPr>
      <w:r>
        <w:rPr>
          <w:rFonts w:hint="eastAsia" w:ascii="Times New Roman Regular" w:hAnsi="Times New Roman Regular" w:eastAsia="方正仿宋_GBK" w:cs="Times New Roman Regular"/>
          <w:b w:val="0"/>
          <w:sz w:val="24"/>
          <w:szCs w:val="24"/>
          <w:lang w:val="en-US" w:eastAsia="zh-CN"/>
        </w:rPr>
        <w:t>（八）</w:t>
      </w:r>
      <w:r>
        <w:rPr>
          <w:rFonts w:hint="default" w:ascii="Times New Roman Regular" w:hAnsi="Times New Roman Regular" w:eastAsia="方正仿宋_GBK" w:cs="Times New Roman Regular"/>
          <w:b w:val="0"/>
          <w:sz w:val="24"/>
          <w:szCs w:val="24"/>
          <w:lang w:val="en-US" w:eastAsia="zh-CN"/>
        </w:rPr>
        <w:t>普惠养老服务消费者权益保障与满意度反馈闭环机制研究</w:t>
      </w:r>
    </w:p>
    <w:p w14:paraId="600A6A7D">
      <w:pPr>
        <w:keepNext w:val="0"/>
        <w:keepLines w:val="0"/>
        <w:pageBreakBefore w:val="0"/>
        <w:widowControl w:val="0"/>
        <w:kinsoku/>
        <w:wordWrap/>
        <w:overflowPunct/>
        <w:topLinePunct w:val="0"/>
        <w:autoSpaceDE/>
        <w:autoSpaceDN/>
        <w:bidi w:val="0"/>
        <w:adjustRightInd/>
        <w:snapToGrid/>
        <w:spacing w:line="400" w:lineRule="exact"/>
        <w:ind w:left="0" w:leftChars="0" w:firstLine="482" w:firstLineChars="200"/>
        <w:textAlignment w:val="auto"/>
        <w:rPr>
          <w:rFonts w:hint="eastAsia" w:ascii="方正楷体_GB2312" w:hAnsi="方正楷体_GB2312" w:eastAsia="方正楷体_GB2312" w:cs="方正楷体_GB2312"/>
          <w:b/>
          <w:bCs w:val="0"/>
          <w:sz w:val="24"/>
          <w:szCs w:val="24"/>
        </w:rPr>
      </w:pPr>
      <w:r>
        <w:rPr>
          <w:rFonts w:hint="eastAsia" w:ascii="方正楷体_GB2312" w:hAnsi="方正楷体_GB2312" w:eastAsia="方正楷体_GB2312" w:cs="方正楷体_GB2312"/>
          <w:b/>
          <w:bCs w:val="0"/>
          <w:sz w:val="24"/>
          <w:szCs w:val="24"/>
          <w:lang w:val="en-US" w:eastAsia="zh-CN"/>
        </w:rPr>
        <w:t>三</w:t>
      </w:r>
      <w:r>
        <w:rPr>
          <w:rFonts w:hint="eastAsia" w:ascii="方正楷体_GB2312" w:hAnsi="方正楷体_GB2312" w:eastAsia="方正楷体_GB2312" w:cs="方正楷体_GB2312"/>
          <w:b/>
          <w:bCs w:val="0"/>
          <w:sz w:val="24"/>
          <w:szCs w:val="24"/>
        </w:rPr>
        <w:t>、银发经济与产业融合发展类</w:t>
      </w:r>
    </w:p>
    <w:p w14:paraId="2269B849">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lang w:val="en-US" w:eastAsia="zh-CN"/>
        </w:rPr>
        <w:t>一</w:t>
      </w: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银发经济产业集群培育路径研究</w:t>
      </w:r>
    </w:p>
    <w:p w14:paraId="154436F5">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lang w:val="en-US" w:eastAsia="zh-CN"/>
        </w:rPr>
        <w:t>二</w:t>
      </w: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智慧健康养老产品与康复辅具产业链构建与政策支持机制研究</w:t>
      </w:r>
    </w:p>
    <w:p w14:paraId="5430CFCE">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lang w:val="en-US" w:eastAsia="zh-CN"/>
        </w:rPr>
        <w:t>三</w:t>
      </w: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“养老+文旅+消费”融合模式创新研究</w:t>
      </w:r>
    </w:p>
    <w:p w14:paraId="381E8800">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lang w:val="en-US" w:eastAsia="zh-CN"/>
        </w:rPr>
        <w:t>四</w:t>
      </w: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适老化消费品纳入以旧换新政策的经济效应评估与推广策略</w:t>
      </w:r>
    </w:p>
    <w:p w14:paraId="198B4F03">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lang w:val="en-US" w:eastAsia="zh-CN"/>
        </w:rPr>
        <w:t>五</w:t>
      </w: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银发经济产业园区建设模式与区域经济增长联动机制研究</w:t>
      </w:r>
    </w:p>
    <w:p w14:paraId="2E5493E7">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eastAsia" w:ascii="Times New Roman Regular" w:hAnsi="Times New Roman Regular" w:eastAsia="方正仿宋_GBK" w:cs="Times New Roman Regular"/>
          <w:b w:val="0"/>
          <w:sz w:val="24"/>
          <w:szCs w:val="24"/>
          <w:lang w:eastAsia="zh-CN"/>
        </w:rPr>
        <w:t>（</w:t>
      </w:r>
      <w:r>
        <w:rPr>
          <w:rFonts w:hint="eastAsia" w:ascii="Times New Roman Regular" w:hAnsi="Times New Roman Regular" w:eastAsia="方正仿宋_GBK" w:cs="Times New Roman Regular"/>
          <w:b w:val="0"/>
          <w:sz w:val="24"/>
          <w:szCs w:val="24"/>
          <w:lang w:val="en-US" w:eastAsia="zh-CN"/>
        </w:rPr>
        <w:t>六</w:t>
      </w:r>
      <w:r>
        <w:rPr>
          <w:rFonts w:hint="eastAsia"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银发经济作为新质生产力增长极的内涵、路径与政策支撑体系研究</w:t>
      </w:r>
    </w:p>
    <w:p w14:paraId="7E6C3372">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eastAsia" w:ascii="Times New Roman Regular" w:hAnsi="Times New Roman Regular" w:eastAsia="方正仿宋_GBK" w:cs="Times New Roman Regular"/>
          <w:b w:val="0"/>
          <w:sz w:val="24"/>
          <w:szCs w:val="24"/>
          <w:lang w:eastAsia="zh-CN"/>
        </w:rPr>
        <w:t>（</w:t>
      </w:r>
      <w:r>
        <w:rPr>
          <w:rFonts w:hint="eastAsia" w:ascii="Times New Roman Regular" w:hAnsi="Times New Roman Regular" w:eastAsia="方正仿宋_GBK" w:cs="Times New Roman Regular"/>
          <w:b w:val="0"/>
          <w:sz w:val="24"/>
          <w:szCs w:val="24"/>
          <w:lang w:val="en-US" w:eastAsia="zh-CN"/>
        </w:rPr>
        <w:t>七</w:t>
      </w:r>
      <w:r>
        <w:rPr>
          <w:rFonts w:hint="eastAsia"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智慧健康养老产业链构建与“数实融合”发展模式研究</w:t>
      </w:r>
    </w:p>
    <w:p w14:paraId="2FB7D759">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eastAsia" w:ascii="Times New Roman Regular" w:hAnsi="Times New Roman Regular" w:eastAsia="方正仿宋_GBK" w:cs="Times New Roman Regular"/>
          <w:b w:val="0"/>
          <w:sz w:val="24"/>
          <w:szCs w:val="24"/>
          <w:lang w:eastAsia="zh-CN"/>
        </w:rPr>
        <w:t>（</w:t>
      </w:r>
      <w:r>
        <w:rPr>
          <w:rFonts w:hint="eastAsia" w:ascii="Times New Roman Regular" w:hAnsi="Times New Roman Regular" w:eastAsia="方正仿宋_GBK" w:cs="Times New Roman Regular"/>
          <w:b w:val="0"/>
          <w:sz w:val="24"/>
          <w:szCs w:val="24"/>
          <w:lang w:val="en-US" w:eastAsia="zh-CN"/>
        </w:rPr>
        <w:t>八</w:t>
      </w:r>
      <w:r>
        <w:rPr>
          <w:rFonts w:hint="eastAsia"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养老服务技能人才与专业技术人才贯通发展对产业升级的支撑作用</w:t>
      </w:r>
    </w:p>
    <w:p w14:paraId="2FC219A9">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eastAsia" w:ascii="Times New Roman Regular" w:hAnsi="Times New Roman Regular" w:eastAsia="方正仿宋_GBK" w:cs="Times New Roman Regular"/>
          <w:b w:val="0"/>
          <w:sz w:val="24"/>
          <w:szCs w:val="24"/>
          <w:lang w:eastAsia="zh-CN"/>
        </w:rPr>
        <w:t>（</w:t>
      </w:r>
      <w:r>
        <w:rPr>
          <w:rFonts w:hint="eastAsia" w:ascii="Times New Roman Regular" w:hAnsi="Times New Roman Regular" w:eastAsia="方正仿宋_GBK" w:cs="Times New Roman Regular"/>
          <w:b w:val="0"/>
          <w:sz w:val="24"/>
          <w:szCs w:val="24"/>
          <w:lang w:val="en-US" w:eastAsia="zh-CN"/>
        </w:rPr>
        <w:t>九</w:t>
      </w:r>
      <w:r>
        <w:rPr>
          <w:rFonts w:hint="eastAsia" w:ascii="Times New Roman Regular" w:hAnsi="Times New Roman Regular" w:eastAsia="方正仿宋_GBK" w:cs="Times New Roman Regular"/>
          <w:b w:val="0"/>
          <w:sz w:val="24"/>
          <w:szCs w:val="24"/>
          <w:lang w:eastAsia="zh-CN"/>
        </w:rPr>
        <w:t>）</w:t>
      </w:r>
      <w:r>
        <w:rPr>
          <w:rFonts w:hint="eastAsia" w:ascii="Times New Roman Regular" w:hAnsi="Times New Roman Regular" w:eastAsia="方正仿宋_GBK" w:cs="Times New Roman Regular"/>
          <w:b w:val="0"/>
          <w:sz w:val="24"/>
          <w:szCs w:val="24"/>
          <w:lang w:val="en-US" w:eastAsia="zh-CN"/>
        </w:rPr>
        <w:t>高等</w:t>
      </w:r>
      <w:r>
        <w:rPr>
          <w:rFonts w:hint="default" w:ascii="Times New Roman Regular" w:hAnsi="Times New Roman Regular" w:eastAsia="方正仿宋_GBK" w:cs="Times New Roman Regular"/>
          <w:b w:val="0"/>
          <w:sz w:val="24"/>
          <w:szCs w:val="24"/>
        </w:rPr>
        <w:t>院校公费培养+市场化就</w:t>
      </w:r>
      <w:bookmarkStart w:id="0" w:name="_GoBack"/>
      <w:bookmarkEnd w:id="0"/>
      <w:r>
        <w:rPr>
          <w:rFonts w:hint="default" w:ascii="Times New Roman Regular" w:hAnsi="Times New Roman Regular" w:eastAsia="方正仿宋_GBK" w:cs="Times New Roman Regular"/>
          <w:b w:val="0"/>
          <w:sz w:val="24"/>
          <w:szCs w:val="24"/>
        </w:rPr>
        <w:t>业模式在养老护理人力资源供给中的实践路径</w:t>
      </w:r>
    </w:p>
    <w:p w14:paraId="52B70222">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eastAsia" w:ascii="Times New Roman Regular" w:hAnsi="Times New Roman Regular" w:eastAsia="方正仿宋_GBK" w:cs="Times New Roman Regular"/>
          <w:b w:val="0"/>
          <w:sz w:val="24"/>
          <w:szCs w:val="24"/>
          <w:lang w:eastAsia="zh-CN"/>
        </w:rPr>
        <w:t>（</w:t>
      </w:r>
      <w:r>
        <w:rPr>
          <w:rFonts w:hint="eastAsia" w:ascii="Times New Roman Regular" w:hAnsi="Times New Roman Regular" w:eastAsia="方正仿宋_GBK" w:cs="Times New Roman Regular"/>
          <w:b w:val="0"/>
          <w:sz w:val="24"/>
          <w:szCs w:val="24"/>
          <w:lang w:val="en-US" w:eastAsia="zh-CN"/>
        </w:rPr>
        <w:t>十</w:t>
      </w:r>
      <w:r>
        <w:rPr>
          <w:rFonts w:hint="eastAsia"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老年教育、银龄人力资源开发与“老有所为”型服务业态创新研究</w:t>
      </w:r>
    </w:p>
    <w:p w14:paraId="6147F993">
      <w:pPr>
        <w:keepNext w:val="0"/>
        <w:keepLines w:val="0"/>
        <w:pageBreakBefore w:val="0"/>
        <w:widowControl w:val="0"/>
        <w:kinsoku/>
        <w:wordWrap/>
        <w:overflowPunct/>
        <w:topLinePunct w:val="0"/>
        <w:autoSpaceDE/>
        <w:autoSpaceDN/>
        <w:bidi w:val="0"/>
        <w:adjustRightInd/>
        <w:snapToGrid/>
        <w:spacing w:line="400" w:lineRule="exact"/>
        <w:ind w:left="0" w:leftChars="0" w:firstLine="482" w:firstLineChars="200"/>
        <w:textAlignment w:val="auto"/>
        <w:rPr>
          <w:rFonts w:hint="default" w:ascii="方正楷体_GB2312" w:hAnsi="方正楷体_GB2312" w:eastAsia="方正楷体_GB2312" w:cs="方正楷体_GB2312"/>
          <w:b/>
          <w:bCs w:val="0"/>
          <w:sz w:val="24"/>
          <w:szCs w:val="24"/>
        </w:rPr>
      </w:pPr>
      <w:r>
        <w:rPr>
          <w:rFonts w:hint="eastAsia" w:ascii="方正楷体_GB2312" w:hAnsi="方正楷体_GB2312" w:eastAsia="方正楷体_GB2312" w:cs="方正楷体_GB2312"/>
          <w:b/>
          <w:bCs w:val="0"/>
          <w:sz w:val="24"/>
          <w:szCs w:val="24"/>
          <w:lang w:val="en-US" w:eastAsia="zh-CN"/>
        </w:rPr>
        <w:t>四</w:t>
      </w:r>
      <w:r>
        <w:rPr>
          <w:rFonts w:hint="default" w:ascii="方正楷体_GB2312" w:hAnsi="方正楷体_GB2312" w:eastAsia="方正楷体_GB2312" w:cs="方正楷体_GB2312"/>
          <w:b/>
          <w:bCs w:val="0"/>
          <w:sz w:val="24"/>
          <w:szCs w:val="24"/>
        </w:rPr>
        <w:t>、养老服务与就业</w:t>
      </w:r>
      <w:r>
        <w:rPr>
          <w:rFonts w:hint="eastAsia" w:ascii="方正楷体_GB2312" w:hAnsi="方正楷体_GB2312" w:eastAsia="方正楷体_GB2312" w:cs="方正楷体_GB2312"/>
          <w:b/>
          <w:bCs w:val="0"/>
          <w:sz w:val="24"/>
          <w:szCs w:val="24"/>
          <w:lang w:val="en-US" w:eastAsia="zh-CN"/>
        </w:rPr>
        <w:t>等</w:t>
      </w:r>
      <w:r>
        <w:rPr>
          <w:rFonts w:hint="default" w:ascii="方正楷体_GB2312" w:hAnsi="方正楷体_GB2312" w:eastAsia="方正楷体_GB2312" w:cs="方正楷体_GB2312"/>
          <w:b/>
          <w:bCs w:val="0"/>
          <w:sz w:val="24"/>
          <w:szCs w:val="24"/>
        </w:rPr>
        <w:t>带动类</w:t>
      </w:r>
    </w:p>
    <w:p w14:paraId="6F100B90">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lang w:val="en-US" w:eastAsia="zh-CN"/>
        </w:rPr>
        <w:t>一</w:t>
      </w: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养老服务产业对就业的拉动效应及结构性优化路径研究</w:t>
      </w:r>
    </w:p>
    <w:p w14:paraId="3C712E20">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lang w:val="en-US" w:eastAsia="zh-CN"/>
        </w:rPr>
        <w:t>二</w:t>
      </w: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“订单式”养老护理人才培养与劳动力市场匹配机制研究</w:t>
      </w:r>
    </w:p>
    <w:p w14:paraId="0FA33B78">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lang w:val="en-US" w:eastAsia="zh-CN"/>
        </w:rPr>
        <w:t>三</w:t>
      </w: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农村“助老”公益岗位开发对乡村振兴与低收入群体增收的影响评估</w:t>
      </w:r>
    </w:p>
    <w:p w14:paraId="1AFBA73E">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lang w:val="en-US" w:eastAsia="zh-CN"/>
        </w:rPr>
        <w:t>四</w:t>
      </w: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老年人才资源开发与“银龄行动”对知识型服务业的贡献研究</w:t>
      </w:r>
    </w:p>
    <w:p w14:paraId="2B621C4D">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lang w:val="en-US" w:eastAsia="zh-CN"/>
        </w:rPr>
        <w:t>五）</w:t>
      </w:r>
      <w:r>
        <w:rPr>
          <w:rFonts w:hint="default" w:ascii="Times New Roman Regular" w:hAnsi="Times New Roman Regular" w:eastAsia="方正仿宋_GBK" w:cs="Times New Roman Regular"/>
          <w:b w:val="0"/>
          <w:sz w:val="24"/>
          <w:szCs w:val="24"/>
        </w:rPr>
        <w:t>养老服务一线人员岗位补贴与薪酬激励机制的可持续性分析</w:t>
      </w:r>
    </w:p>
    <w:p w14:paraId="6756FEDF">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eastAsia" w:ascii="Times New Roman Regular" w:hAnsi="Times New Roman Regular" w:eastAsia="方正仿宋_GBK" w:cs="Times New Roman Regular"/>
          <w:b w:val="0"/>
          <w:sz w:val="24"/>
          <w:szCs w:val="24"/>
          <w:lang w:eastAsia="zh-CN"/>
        </w:rPr>
        <w:t>（</w:t>
      </w:r>
      <w:r>
        <w:rPr>
          <w:rFonts w:hint="eastAsia" w:ascii="Times New Roman Regular" w:hAnsi="Times New Roman Regular" w:eastAsia="方正仿宋_GBK" w:cs="Times New Roman Regular"/>
          <w:b w:val="0"/>
          <w:sz w:val="24"/>
          <w:szCs w:val="24"/>
          <w:lang w:val="en-US" w:eastAsia="zh-CN"/>
        </w:rPr>
        <w:t>六</w:t>
      </w:r>
      <w:r>
        <w:rPr>
          <w:rFonts w:hint="eastAsia"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适老化改造、老年用品研发与“以旧换新”政策联动对银发消费的撬动效应</w:t>
      </w:r>
    </w:p>
    <w:p w14:paraId="57352A7C">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eastAsia" w:ascii="Times New Roman Regular" w:hAnsi="Times New Roman Regular" w:eastAsia="方正仿宋_GBK" w:cs="Times New Roman Regular"/>
          <w:b w:val="0"/>
          <w:sz w:val="24"/>
          <w:szCs w:val="24"/>
          <w:lang w:eastAsia="zh-CN"/>
        </w:rPr>
        <w:t>（</w:t>
      </w:r>
      <w:r>
        <w:rPr>
          <w:rFonts w:hint="eastAsia" w:ascii="Times New Roman Regular" w:hAnsi="Times New Roman Regular" w:eastAsia="方正仿宋_GBK" w:cs="Times New Roman Regular"/>
          <w:b w:val="0"/>
          <w:sz w:val="24"/>
          <w:szCs w:val="24"/>
          <w:lang w:val="en-US" w:eastAsia="zh-CN"/>
        </w:rPr>
        <w:t>七</w:t>
      </w:r>
      <w:r>
        <w:rPr>
          <w:rFonts w:hint="eastAsia"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旅居养老、康养度假等新业态对文旅、地产、健康等关联产业的融合带动机制</w:t>
      </w:r>
    </w:p>
    <w:p w14:paraId="1FA9AF0D">
      <w:pPr>
        <w:keepNext w:val="0"/>
        <w:keepLines w:val="0"/>
        <w:pageBreakBefore w:val="0"/>
        <w:widowControl w:val="0"/>
        <w:kinsoku/>
        <w:wordWrap/>
        <w:overflowPunct/>
        <w:topLinePunct w:val="0"/>
        <w:autoSpaceDE/>
        <w:autoSpaceDN/>
        <w:bidi w:val="0"/>
        <w:adjustRightInd/>
        <w:snapToGrid/>
        <w:spacing w:line="400" w:lineRule="exact"/>
        <w:ind w:left="0" w:leftChars="0" w:firstLine="482" w:firstLineChars="200"/>
        <w:textAlignment w:val="auto"/>
        <w:rPr>
          <w:rFonts w:hint="default" w:ascii="方正楷体_GB2312" w:hAnsi="方正楷体_GB2312" w:eastAsia="方正楷体_GB2312" w:cs="方正楷体_GB2312"/>
          <w:b/>
          <w:bCs w:val="0"/>
          <w:sz w:val="24"/>
          <w:szCs w:val="24"/>
        </w:rPr>
      </w:pPr>
      <w:r>
        <w:rPr>
          <w:rFonts w:hint="eastAsia" w:ascii="方正楷体_GB2312" w:hAnsi="方正楷体_GB2312" w:eastAsia="方正楷体_GB2312" w:cs="方正楷体_GB2312"/>
          <w:b/>
          <w:bCs w:val="0"/>
          <w:sz w:val="24"/>
          <w:szCs w:val="24"/>
          <w:lang w:val="en-US" w:eastAsia="zh-CN"/>
        </w:rPr>
        <w:t>五</w:t>
      </w:r>
      <w:r>
        <w:rPr>
          <w:rFonts w:hint="default" w:ascii="方正楷体_GB2312" w:hAnsi="方正楷体_GB2312" w:eastAsia="方正楷体_GB2312" w:cs="方正楷体_GB2312"/>
          <w:b/>
          <w:bCs w:val="0"/>
          <w:sz w:val="24"/>
          <w:szCs w:val="24"/>
        </w:rPr>
        <w:t>、城乡统筹与区域协调发展类</w:t>
      </w:r>
    </w:p>
    <w:p w14:paraId="5DFB1840">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lang w:val="en-US" w:eastAsia="zh-CN"/>
        </w:rPr>
        <w:t>一</w:t>
      </w: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15分钟养老服务圈建设对城市公共服务均等化与社区治理效能的影响研究</w:t>
      </w:r>
    </w:p>
    <w:p w14:paraId="72F39E51">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lang w:val="en-US" w:eastAsia="zh-CN"/>
        </w:rPr>
        <w:t>二</w:t>
      </w: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lang w:val="en-US" w:eastAsia="zh-CN"/>
        </w:rPr>
        <w:t>城乡</w:t>
      </w:r>
      <w:r>
        <w:rPr>
          <w:rFonts w:hint="default" w:ascii="Times New Roman Regular" w:hAnsi="Times New Roman Regular" w:eastAsia="方正仿宋_GBK" w:cs="Times New Roman Regular"/>
          <w:b w:val="0"/>
          <w:sz w:val="24"/>
          <w:szCs w:val="24"/>
        </w:rPr>
        <w:t>闲置资产盘活用于养老服务的制度障碍与创新路径</w:t>
      </w:r>
    </w:p>
    <w:p w14:paraId="2221B561">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lang w:val="en-US" w:eastAsia="zh-CN"/>
        </w:rPr>
        <w:t>三</w:t>
      </w: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成渝地区双城经济圈养老服务一体化发展的协同机制与经济溢出效应研究</w:t>
      </w:r>
    </w:p>
    <w:p w14:paraId="19DADA16">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lang w:val="en-US" w:eastAsia="zh-CN"/>
        </w:rPr>
        <w:t>四</w:t>
      </w: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山区库区与中心城区养老服务资源配置差异化策略及其经济社会效益比较</w:t>
      </w:r>
    </w:p>
    <w:p w14:paraId="751CE176">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eastAsia" w:ascii="Times New Roman Regular" w:hAnsi="Times New Roman Regular" w:eastAsia="方正仿宋_GBK" w:cs="Times New Roman Regular"/>
          <w:b w:val="0"/>
          <w:sz w:val="24"/>
          <w:szCs w:val="24"/>
          <w:lang w:eastAsia="zh-CN"/>
        </w:rPr>
        <w:t>（</w:t>
      </w:r>
      <w:r>
        <w:rPr>
          <w:rFonts w:hint="eastAsia" w:ascii="Times New Roman Regular" w:hAnsi="Times New Roman Regular" w:eastAsia="方正仿宋_GBK" w:cs="Times New Roman Regular"/>
          <w:b w:val="0"/>
          <w:sz w:val="24"/>
          <w:szCs w:val="24"/>
          <w:lang w:val="en-US" w:eastAsia="zh-CN"/>
        </w:rPr>
        <w:t>五</w:t>
      </w:r>
      <w:r>
        <w:rPr>
          <w:rFonts w:hint="eastAsia"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养老服务业市场准入、公平竞争与国民待遇制度优化研究</w:t>
      </w:r>
    </w:p>
    <w:p w14:paraId="441BEE79">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eastAsia" w:ascii="Times New Roman Regular" w:hAnsi="Times New Roman Regular" w:eastAsia="方正仿宋_GBK" w:cs="Times New Roman Regular"/>
          <w:b w:val="0"/>
          <w:sz w:val="24"/>
          <w:szCs w:val="24"/>
          <w:lang w:eastAsia="zh-CN"/>
        </w:rPr>
        <w:t>（</w:t>
      </w:r>
      <w:r>
        <w:rPr>
          <w:rFonts w:hint="eastAsia" w:ascii="Times New Roman Regular" w:hAnsi="Times New Roman Regular" w:eastAsia="方正仿宋_GBK" w:cs="Times New Roman Regular"/>
          <w:b w:val="0"/>
          <w:sz w:val="24"/>
          <w:szCs w:val="24"/>
          <w:lang w:val="en-US" w:eastAsia="zh-CN"/>
        </w:rPr>
        <w:t>六</w:t>
      </w:r>
      <w:r>
        <w:rPr>
          <w:rFonts w:hint="eastAsia"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公建民营、委托运营等</w:t>
      </w:r>
      <w:r>
        <w:rPr>
          <w:rFonts w:hint="eastAsia" w:ascii="Times New Roman Regular" w:hAnsi="Times New Roman Regular" w:eastAsia="方正仿宋_GBK" w:cs="Times New Roman Regular"/>
          <w:b w:val="0"/>
          <w:sz w:val="24"/>
          <w:szCs w:val="24"/>
          <w:lang w:val="en-US" w:eastAsia="zh-CN"/>
        </w:rPr>
        <w:t>不同</w:t>
      </w:r>
      <w:r>
        <w:rPr>
          <w:rFonts w:hint="default" w:ascii="Times New Roman Regular" w:hAnsi="Times New Roman Regular" w:eastAsia="方正仿宋_GBK" w:cs="Times New Roman Regular"/>
          <w:b w:val="0"/>
          <w:sz w:val="24"/>
          <w:szCs w:val="24"/>
        </w:rPr>
        <w:t>模式在养老设施供给中的可持续性与监管创新</w:t>
      </w:r>
    </w:p>
    <w:p w14:paraId="6B97CD7C">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eastAsia" w:ascii="Times New Roman Regular" w:hAnsi="Times New Roman Regular" w:eastAsia="方正仿宋_GBK" w:cs="Times New Roman Regular"/>
          <w:b w:val="0"/>
          <w:sz w:val="24"/>
          <w:szCs w:val="24"/>
          <w:lang w:eastAsia="zh-CN"/>
        </w:rPr>
        <w:t>（</w:t>
      </w:r>
      <w:r>
        <w:rPr>
          <w:rFonts w:hint="eastAsia" w:ascii="Times New Roman Regular" w:hAnsi="Times New Roman Regular" w:eastAsia="方正仿宋_GBK" w:cs="Times New Roman Regular"/>
          <w:b w:val="0"/>
          <w:sz w:val="24"/>
          <w:szCs w:val="24"/>
          <w:lang w:val="en-US" w:eastAsia="zh-CN"/>
        </w:rPr>
        <w:t>七</w:t>
      </w:r>
      <w:r>
        <w:rPr>
          <w:rFonts w:hint="eastAsia"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养老服务价格形成机制与普惠型市场供给平衡</w:t>
      </w:r>
      <w:r>
        <w:rPr>
          <w:rFonts w:hint="eastAsia" w:ascii="Times New Roman Regular" w:hAnsi="Times New Roman Regular" w:eastAsia="方正仿宋_GBK" w:cs="Times New Roman Regular"/>
          <w:b w:val="0"/>
          <w:sz w:val="24"/>
          <w:szCs w:val="24"/>
          <w:lang w:val="en-US" w:eastAsia="zh-CN"/>
        </w:rPr>
        <w:t>问题</w:t>
      </w:r>
      <w:r>
        <w:rPr>
          <w:rFonts w:hint="default" w:ascii="Times New Roman Regular" w:hAnsi="Times New Roman Regular" w:eastAsia="方正仿宋_GBK" w:cs="Times New Roman Regular"/>
          <w:b w:val="0"/>
          <w:sz w:val="24"/>
          <w:szCs w:val="24"/>
        </w:rPr>
        <w:t>研究</w:t>
      </w:r>
    </w:p>
    <w:p w14:paraId="7815CE9B">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eastAsia" w:ascii="Times New Roman Regular" w:hAnsi="Times New Roman Regular" w:eastAsia="方正仿宋_GBK" w:cs="Times New Roman Regular"/>
          <w:b w:val="0"/>
          <w:sz w:val="24"/>
          <w:szCs w:val="24"/>
          <w:lang w:eastAsia="zh-CN"/>
        </w:rPr>
        <w:t>（</w:t>
      </w:r>
      <w:r>
        <w:rPr>
          <w:rFonts w:hint="eastAsia" w:ascii="Times New Roman Regular" w:hAnsi="Times New Roman Regular" w:eastAsia="方正仿宋_GBK" w:cs="Times New Roman Regular"/>
          <w:b w:val="0"/>
          <w:sz w:val="24"/>
          <w:szCs w:val="24"/>
          <w:lang w:val="en-US" w:eastAsia="zh-CN"/>
        </w:rPr>
        <w:t>八</w:t>
      </w:r>
      <w:r>
        <w:rPr>
          <w:rFonts w:hint="eastAsia"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国家级/区域级银发经济产业园区建设标准与集聚效应评估</w:t>
      </w:r>
    </w:p>
    <w:p w14:paraId="265E5FF5">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eastAsia" w:ascii="Times New Roman Regular" w:hAnsi="Times New Roman Regular" w:eastAsia="方正仿宋_GBK" w:cs="Times New Roman Regular"/>
          <w:b w:val="0"/>
          <w:sz w:val="24"/>
          <w:szCs w:val="24"/>
          <w:lang w:eastAsia="zh-CN"/>
        </w:rPr>
        <w:t>（</w:t>
      </w:r>
      <w:r>
        <w:rPr>
          <w:rFonts w:hint="eastAsia" w:ascii="Times New Roman Regular" w:hAnsi="Times New Roman Regular" w:eastAsia="方正仿宋_GBK" w:cs="Times New Roman Regular"/>
          <w:b w:val="0"/>
          <w:sz w:val="24"/>
          <w:szCs w:val="24"/>
          <w:lang w:val="en-US" w:eastAsia="zh-CN"/>
        </w:rPr>
        <w:t>九</w:t>
      </w:r>
      <w:r>
        <w:rPr>
          <w:rFonts w:hint="eastAsia"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成渝地区养老服务一体化对区域产业协同的带动作用</w:t>
      </w:r>
    </w:p>
    <w:p w14:paraId="695CF96E">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eastAsia" w:ascii="Times New Roman Regular" w:hAnsi="Times New Roman Regular" w:eastAsia="方正仿宋_GBK" w:cs="Times New Roman Regular"/>
          <w:b w:val="0"/>
          <w:sz w:val="24"/>
          <w:szCs w:val="24"/>
          <w:lang w:eastAsia="zh-CN"/>
        </w:rPr>
        <w:t>（</w:t>
      </w:r>
      <w:r>
        <w:rPr>
          <w:rFonts w:hint="eastAsia" w:ascii="Times New Roman Regular" w:hAnsi="Times New Roman Regular" w:eastAsia="方正仿宋_GBK" w:cs="Times New Roman Regular"/>
          <w:b w:val="0"/>
          <w:sz w:val="24"/>
          <w:szCs w:val="24"/>
          <w:lang w:val="en-US" w:eastAsia="zh-CN"/>
        </w:rPr>
        <w:t>十</w:t>
      </w:r>
      <w:r>
        <w:rPr>
          <w:rFonts w:hint="eastAsia"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城乡养老服务资源双向流动机制与县域养老产业生态构建研究</w:t>
      </w:r>
    </w:p>
    <w:p w14:paraId="6F083760">
      <w:pPr>
        <w:keepNext w:val="0"/>
        <w:keepLines w:val="0"/>
        <w:pageBreakBefore w:val="0"/>
        <w:widowControl w:val="0"/>
        <w:kinsoku/>
        <w:wordWrap/>
        <w:overflowPunct/>
        <w:topLinePunct w:val="0"/>
        <w:autoSpaceDE/>
        <w:autoSpaceDN/>
        <w:bidi w:val="0"/>
        <w:adjustRightInd/>
        <w:snapToGrid/>
        <w:spacing w:line="400" w:lineRule="exact"/>
        <w:ind w:left="0" w:leftChars="0" w:firstLine="482" w:firstLineChars="200"/>
        <w:textAlignment w:val="auto"/>
        <w:rPr>
          <w:rFonts w:hint="default" w:ascii="方正楷体_GB2312" w:hAnsi="方正楷体_GB2312" w:eastAsia="方正楷体_GB2312" w:cs="方正楷体_GB2312"/>
          <w:b/>
          <w:bCs w:val="0"/>
          <w:sz w:val="24"/>
          <w:szCs w:val="24"/>
        </w:rPr>
      </w:pPr>
      <w:r>
        <w:rPr>
          <w:rFonts w:hint="eastAsia" w:ascii="方正楷体_GB2312" w:hAnsi="方正楷体_GB2312" w:eastAsia="方正楷体_GB2312" w:cs="方正楷体_GB2312"/>
          <w:b/>
          <w:bCs w:val="0"/>
          <w:sz w:val="24"/>
          <w:szCs w:val="24"/>
          <w:lang w:val="en-US" w:eastAsia="zh-CN"/>
        </w:rPr>
        <w:t>六</w:t>
      </w:r>
      <w:r>
        <w:rPr>
          <w:rFonts w:hint="default" w:ascii="方正楷体_GB2312" w:hAnsi="方正楷体_GB2312" w:eastAsia="方正楷体_GB2312" w:cs="方正楷体_GB2312"/>
          <w:b/>
          <w:bCs w:val="0"/>
          <w:sz w:val="24"/>
          <w:szCs w:val="24"/>
        </w:rPr>
        <w:t>、科技赋能与数字经济发展类</w:t>
      </w:r>
    </w:p>
    <w:p w14:paraId="0D0537A5">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lang w:val="en-US" w:eastAsia="zh-CN"/>
        </w:rPr>
        <w:t>一</w:t>
      </w: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AI与大数据在养老服务中的应用场景构建与产业转化潜力研究</w:t>
      </w:r>
    </w:p>
    <w:p w14:paraId="546FFD74">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lang w:val="en-US" w:eastAsia="zh-CN"/>
        </w:rPr>
        <w:t>二</w:t>
      </w: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“渝悦·养老”数字平台对银发消费市场激活的作用机制分析</w:t>
      </w:r>
    </w:p>
    <w:p w14:paraId="419F93C2">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lang w:val="en-US" w:eastAsia="zh-CN"/>
        </w:rPr>
        <w:t>三</w:t>
      </w: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智能养老设备（如服务机器人、可穿戴设备）本地化应用与产业链配套研究</w:t>
      </w:r>
    </w:p>
    <w:p w14:paraId="1F335080">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lang w:val="en-US" w:eastAsia="zh-CN"/>
        </w:rPr>
        <w:t>四</w:t>
      </w: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数字适老化改造对老年群体数字包容性与消费能力提升的影响评估</w:t>
      </w:r>
    </w:p>
    <w:p w14:paraId="414A0C9D">
      <w:pPr>
        <w:keepNext w:val="0"/>
        <w:keepLines w:val="0"/>
        <w:pageBreakBefore w:val="0"/>
        <w:widowControl w:val="0"/>
        <w:kinsoku/>
        <w:wordWrap/>
        <w:overflowPunct/>
        <w:topLinePunct w:val="0"/>
        <w:autoSpaceDE/>
        <w:autoSpaceDN/>
        <w:bidi w:val="0"/>
        <w:adjustRightInd/>
        <w:snapToGrid/>
        <w:spacing w:line="400" w:lineRule="exact"/>
        <w:ind w:left="0" w:leftChars="0" w:firstLine="482" w:firstLineChars="200"/>
        <w:textAlignment w:val="auto"/>
        <w:rPr>
          <w:rFonts w:hint="default" w:ascii="方正楷体_GB2312" w:hAnsi="方正楷体_GB2312" w:eastAsia="方正楷体_GB2312" w:cs="方正楷体_GB2312"/>
          <w:b/>
          <w:bCs w:val="0"/>
          <w:sz w:val="24"/>
          <w:szCs w:val="24"/>
        </w:rPr>
      </w:pPr>
      <w:r>
        <w:rPr>
          <w:rFonts w:hint="eastAsia" w:ascii="方正楷体_GB2312" w:hAnsi="方正楷体_GB2312" w:eastAsia="方正楷体_GB2312" w:cs="方正楷体_GB2312"/>
          <w:b/>
          <w:bCs w:val="0"/>
          <w:sz w:val="24"/>
          <w:szCs w:val="24"/>
          <w:lang w:val="en-US" w:eastAsia="zh-CN"/>
        </w:rPr>
        <w:t>七</w:t>
      </w:r>
      <w:r>
        <w:rPr>
          <w:rFonts w:hint="default" w:ascii="方正楷体_GB2312" w:hAnsi="方正楷体_GB2312" w:eastAsia="方正楷体_GB2312" w:cs="方正楷体_GB2312"/>
          <w:b/>
          <w:bCs w:val="0"/>
          <w:sz w:val="24"/>
          <w:szCs w:val="24"/>
        </w:rPr>
        <w:t>、金融支持与投融资创新类</w:t>
      </w:r>
    </w:p>
    <w:p w14:paraId="72551C2A">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lang w:val="en-US" w:eastAsia="zh-CN"/>
        </w:rPr>
        <w:t>一</w:t>
      </w: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养老基础设施REITs与特许经营模式在重庆的适用性与风险防控研究</w:t>
      </w:r>
    </w:p>
    <w:p w14:paraId="3C136C1C">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eastAsia" w:ascii="Times New Roman Regular" w:hAnsi="Times New Roman Regular" w:eastAsia="方正仿宋_GBK" w:cs="Times New Roman Regular"/>
          <w:b w:val="0"/>
          <w:sz w:val="24"/>
          <w:szCs w:val="24"/>
          <w:lang w:eastAsia="zh-CN"/>
        </w:rPr>
      </w:pPr>
      <w:r>
        <w:rPr>
          <w:rFonts w:hint="eastAsia" w:ascii="Times New Roman Regular" w:hAnsi="Times New Roman Regular" w:eastAsia="方正仿宋_GBK" w:cs="Times New Roman Regular"/>
          <w:b w:val="0"/>
          <w:sz w:val="24"/>
          <w:szCs w:val="24"/>
          <w:lang w:eastAsia="zh-CN"/>
        </w:rPr>
        <w:t>（</w:t>
      </w:r>
      <w:r>
        <w:rPr>
          <w:rFonts w:hint="eastAsia" w:ascii="Times New Roman Regular" w:hAnsi="Times New Roman Regular" w:eastAsia="方正仿宋_GBK" w:cs="Times New Roman Regular"/>
          <w:b w:val="0"/>
          <w:sz w:val="24"/>
          <w:szCs w:val="24"/>
          <w:lang w:val="en-US" w:eastAsia="zh-CN"/>
        </w:rPr>
        <w:t>二</w:t>
      </w:r>
      <w:r>
        <w:rPr>
          <w:rFonts w:hint="eastAsia"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养老金融产品创新与基础设施REITs在养老产业投融资中的应用研究</w:t>
      </w:r>
    </w:p>
    <w:p w14:paraId="26C725AB">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default" w:ascii="Times New Roman Regular" w:hAnsi="Times New Roman Regular" w:eastAsia="方正仿宋_GBK" w:cs="Times New Roman Regular"/>
          <w:b w:val="0"/>
          <w:sz w:val="24"/>
          <w:szCs w:val="24"/>
          <w:lang w:eastAsia="zh-CN"/>
        </w:rPr>
        <w:t>（</w:t>
      </w:r>
      <w:r>
        <w:rPr>
          <w:rFonts w:hint="eastAsia" w:ascii="Times New Roman Regular" w:hAnsi="Times New Roman Regular" w:eastAsia="方正仿宋_GBK" w:cs="Times New Roman Regular"/>
          <w:b w:val="0"/>
          <w:sz w:val="24"/>
          <w:szCs w:val="24"/>
          <w:lang w:val="en-US" w:eastAsia="zh-CN"/>
        </w:rPr>
        <w:t>三</w:t>
      </w: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养老服务小微企业融资担保机制创新与金融产品设计研究</w:t>
      </w:r>
    </w:p>
    <w:p w14:paraId="2EBE2BCA">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default" w:ascii="Times New Roman Regular" w:hAnsi="Times New Roman Regular" w:eastAsia="方正仿宋_GBK" w:cs="Times New Roman Regular"/>
          <w:b w:val="0"/>
          <w:sz w:val="24"/>
          <w:szCs w:val="24"/>
          <w:lang w:eastAsia="zh-CN"/>
        </w:rPr>
        <w:t>（</w:t>
      </w:r>
      <w:r>
        <w:rPr>
          <w:rFonts w:hint="eastAsia" w:ascii="Times New Roman Regular" w:hAnsi="Times New Roman Regular" w:eastAsia="方正仿宋_GBK" w:cs="Times New Roman Regular"/>
          <w:b w:val="0"/>
          <w:sz w:val="24"/>
          <w:szCs w:val="24"/>
          <w:lang w:val="en-US" w:eastAsia="zh-CN"/>
        </w:rPr>
        <w:t>四</w:t>
      </w: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家庭养老床位纳入责任保险的可行性及对居家养老市场化的推动作用</w:t>
      </w:r>
    </w:p>
    <w:p w14:paraId="4A74C608">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eastAsia" w:ascii="Times New Roman Regular" w:hAnsi="Times New Roman Regular" w:eastAsia="方正仿宋_GBK" w:cs="Times New Roman Regular"/>
          <w:b w:val="0"/>
          <w:sz w:val="24"/>
          <w:szCs w:val="24"/>
          <w:lang w:eastAsia="zh-CN"/>
        </w:rPr>
        <w:t>（</w:t>
      </w:r>
      <w:r>
        <w:rPr>
          <w:rFonts w:hint="eastAsia" w:ascii="Times New Roman Regular" w:hAnsi="Times New Roman Regular" w:eastAsia="方正仿宋_GBK" w:cs="Times New Roman Regular"/>
          <w:b w:val="0"/>
          <w:sz w:val="24"/>
          <w:szCs w:val="24"/>
          <w:lang w:val="en-US" w:eastAsia="zh-CN"/>
        </w:rPr>
        <w:t>五</w:t>
      </w:r>
      <w:r>
        <w:rPr>
          <w:rFonts w:hint="eastAsia"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长期护理保险制度与商业健康保险联动对护理服务产业化的激励机制</w:t>
      </w:r>
    </w:p>
    <w:p w14:paraId="156CD4E3">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eastAsia" w:ascii="Times New Roman Regular" w:hAnsi="Times New Roman Regular" w:eastAsia="方正仿宋_GBK" w:cs="Times New Roman Regular"/>
          <w:b w:val="0"/>
          <w:sz w:val="24"/>
          <w:szCs w:val="24"/>
          <w:lang w:eastAsia="zh-CN"/>
        </w:rPr>
        <w:t>（</w:t>
      </w:r>
      <w:r>
        <w:rPr>
          <w:rFonts w:hint="eastAsia" w:ascii="Times New Roman Regular" w:hAnsi="Times New Roman Regular" w:eastAsia="方正仿宋_GBK" w:cs="Times New Roman Regular"/>
          <w:b w:val="0"/>
          <w:sz w:val="24"/>
          <w:szCs w:val="24"/>
          <w:lang w:val="en-US" w:eastAsia="zh-CN"/>
        </w:rPr>
        <w:t>七</w:t>
      </w:r>
      <w:r>
        <w:rPr>
          <w:rFonts w:hint="eastAsia"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养老服务用地、闲置资产盘活与空间规划制度改革对产业落地的支撑作用</w:t>
      </w:r>
    </w:p>
    <w:p w14:paraId="68E0F918">
      <w:pPr>
        <w:keepNext w:val="0"/>
        <w:keepLines w:val="0"/>
        <w:pageBreakBefore w:val="0"/>
        <w:widowControl w:val="0"/>
        <w:kinsoku/>
        <w:wordWrap/>
        <w:overflowPunct/>
        <w:topLinePunct w:val="0"/>
        <w:autoSpaceDE/>
        <w:autoSpaceDN/>
        <w:bidi w:val="0"/>
        <w:adjustRightInd/>
        <w:snapToGrid/>
        <w:spacing w:line="400" w:lineRule="exact"/>
        <w:ind w:left="0" w:leftChars="0" w:firstLine="482" w:firstLineChars="200"/>
        <w:textAlignment w:val="auto"/>
        <w:rPr>
          <w:rFonts w:hint="default" w:ascii="方正楷体_GB2312" w:hAnsi="方正楷体_GB2312" w:eastAsia="方正楷体_GB2312" w:cs="方正楷体_GB2312"/>
          <w:b/>
          <w:bCs w:val="0"/>
          <w:sz w:val="24"/>
          <w:szCs w:val="24"/>
        </w:rPr>
      </w:pPr>
      <w:r>
        <w:rPr>
          <w:rFonts w:hint="eastAsia" w:ascii="方正楷体_GB2312" w:hAnsi="方正楷体_GB2312" w:eastAsia="方正楷体_GB2312" w:cs="方正楷体_GB2312"/>
          <w:b/>
          <w:bCs w:val="0"/>
          <w:sz w:val="24"/>
          <w:szCs w:val="24"/>
          <w:lang w:val="en-US" w:eastAsia="zh-CN"/>
        </w:rPr>
        <w:t>八</w:t>
      </w:r>
      <w:r>
        <w:rPr>
          <w:rFonts w:hint="default" w:ascii="方正楷体_GB2312" w:hAnsi="方正楷体_GB2312" w:eastAsia="方正楷体_GB2312" w:cs="方正楷体_GB2312"/>
          <w:b/>
          <w:bCs w:val="0"/>
          <w:sz w:val="24"/>
          <w:szCs w:val="24"/>
        </w:rPr>
        <w:t>、医养结合与健康产业发展类</w:t>
      </w:r>
    </w:p>
    <w:p w14:paraId="6504055D">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lang w:val="en-US" w:eastAsia="zh-CN"/>
        </w:rPr>
        <w:t>一</w:t>
      </w: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医养结合机构转型对区域医疗资源优化配置与健康产业升级的双重效应研究</w:t>
      </w:r>
    </w:p>
    <w:p w14:paraId="77D8D9A8">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lang w:val="en-US" w:eastAsia="zh-CN"/>
        </w:rPr>
        <w:t>二</w:t>
      </w: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长期护理保险扩面与居民医保衔接对养老照护产业发展的激励机制研究</w:t>
      </w:r>
    </w:p>
    <w:p w14:paraId="08FDC382">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lang w:val="en-US" w:eastAsia="zh-CN"/>
        </w:rPr>
        <w:t>三</w:t>
      </w:r>
      <w:r>
        <w:rPr>
          <w:rFonts w:hint="default"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认知障碍照护服务体系建设对专业护理市场与相关产业链的带动作用</w:t>
      </w:r>
    </w:p>
    <w:p w14:paraId="7121CC34">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eastAsia" w:ascii="Times New Roman Regular" w:hAnsi="Times New Roman Regular" w:eastAsia="方正仿宋_GBK" w:cs="Times New Roman Regular"/>
          <w:b w:val="0"/>
          <w:sz w:val="24"/>
          <w:szCs w:val="24"/>
          <w:lang w:eastAsia="zh-CN"/>
        </w:rPr>
        <w:t>（</w:t>
      </w:r>
      <w:r>
        <w:rPr>
          <w:rFonts w:hint="eastAsia" w:ascii="Times New Roman Regular" w:hAnsi="Times New Roman Regular" w:eastAsia="方正仿宋_GBK" w:cs="Times New Roman Regular"/>
          <w:b w:val="0"/>
          <w:sz w:val="24"/>
          <w:szCs w:val="24"/>
          <w:lang w:val="en-US" w:eastAsia="zh-CN"/>
        </w:rPr>
        <w:t>四</w:t>
      </w:r>
      <w:r>
        <w:rPr>
          <w:rFonts w:hint="eastAsia"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养老服务综合监管体系与信用评价机制对行业规范发展的引导作用</w:t>
      </w:r>
    </w:p>
    <w:p w14:paraId="726FD8A6">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rPr>
      </w:pPr>
      <w:r>
        <w:rPr>
          <w:rFonts w:hint="eastAsia" w:ascii="Times New Roman Regular" w:hAnsi="Times New Roman Regular" w:eastAsia="方正仿宋_GBK" w:cs="Times New Roman Regular"/>
          <w:b w:val="0"/>
          <w:sz w:val="24"/>
          <w:szCs w:val="24"/>
          <w:lang w:eastAsia="zh-CN"/>
        </w:rPr>
        <w:t>（</w:t>
      </w:r>
      <w:r>
        <w:rPr>
          <w:rFonts w:hint="eastAsia" w:ascii="Times New Roman Regular" w:hAnsi="Times New Roman Regular" w:eastAsia="方正仿宋_GBK" w:cs="Times New Roman Regular"/>
          <w:b w:val="0"/>
          <w:sz w:val="24"/>
          <w:szCs w:val="24"/>
          <w:lang w:val="en-US" w:eastAsia="zh-CN"/>
        </w:rPr>
        <w:t>五</w:t>
      </w:r>
      <w:r>
        <w:rPr>
          <w:rFonts w:hint="eastAsia"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预收费监管、“提存公证”等制度创新对防范养老领域金融风险的实践探索</w:t>
      </w:r>
    </w:p>
    <w:p w14:paraId="29752A5D">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Regular" w:hAnsi="Times New Roman Regular" w:eastAsia="方正仿宋_GBK" w:cs="Times New Roman Regular"/>
          <w:b w:val="0"/>
          <w:sz w:val="24"/>
          <w:szCs w:val="24"/>
          <w:lang w:val="en-US" w:eastAsia="zh-CN"/>
        </w:rPr>
      </w:pPr>
      <w:r>
        <w:rPr>
          <w:rFonts w:hint="eastAsia" w:ascii="Times New Roman Regular" w:hAnsi="Times New Roman Regular" w:eastAsia="方正仿宋_GBK" w:cs="Times New Roman Regular"/>
          <w:b w:val="0"/>
          <w:sz w:val="24"/>
          <w:szCs w:val="24"/>
          <w:lang w:eastAsia="zh-CN"/>
        </w:rPr>
        <w:t>（</w:t>
      </w:r>
      <w:r>
        <w:rPr>
          <w:rFonts w:hint="eastAsia" w:ascii="Times New Roman Regular" w:hAnsi="Times New Roman Regular" w:eastAsia="方正仿宋_GBK" w:cs="Times New Roman Regular"/>
          <w:b w:val="0"/>
          <w:sz w:val="24"/>
          <w:szCs w:val="24"/>
          <w:lang w:val="en-US" w:eastAsia="zh-CN"/>
        </w:rPr>
        <w:t>六</w:t>
      </w:r>
      <w:r>
        <w:rPr>
          <w:rFonts w:hint="eastAsia" w:ascii="Times New Roman Regular" w:hAnsi="Times New Roman Regular" w:eastAsia="方正仿宋_GBK" w:cs="Times New Roman Regular"/>
          <w:b w:val="0"/>
          <w:sz w:val="24"/>
          <w:szCs w:val="24"/>
          <w:lang w:eastAsia="zh-CN"/>
        </w:rPr>
        <w:t>）</w:t>
      </w:r>
      <w:r>
        <w:rPr>
          <w:rFonts w:hint="default" w:ascii="Times New Roman Regular" w:hAnsi="Times New Roman Regular" w:eastAsia="方正仿宋_GBK" w:cs="Times New Roman Regular"/>
          <w:b w:val="0"/>
          <w:sz w:val="24"/>
          <w:szCs w:val="24"/>
        </w:rPr>
        <w:t>养老服务标准体系、质量认证与品牌化建设对提升产业竞争力的影响研究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小标宋_GBK">
    <w:panose1 w:val="03000509000000000000"/>
    <w:charset w:val="86"/>
    <w:family w:val="auto"/>
    <w:pitch w:val="default"/>
    <w:sig w:usb0="00000001" w:usb1="080E0000" w:usb2="00000000" w:usb3="00000000" w:csb0="00040000" w:csb1="00000000"/>
  </w:font>
  <w:font w:name="Times New Roman Regular">
    <w:panose1 w:val="02020503050405090304"/>
    <w:charset w:val="00"/>
    <w:family w:val="auto"/>
    <w:pitch w:val="default"/>
    <w:sig w:usb0="E0000AFF" w:usb1="00007843" w:usb2="00000001" w:usb3="00000000" w:csb0="400001BF" w:csb1="DFF70000"/>
  </w:font>
  <w:font w:name="方正仿宋_GBK">
    <w:panose1 w:val="03000509000000000000"/>
    <w:charset w:val="86"/>
    <w:family w:val="auto"/>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DBF181"/>
    <w:multiLevelType w:val="singleLevel"/>
    <w:tmpl w:val="3CDBF18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9F63748"/>
    <w:rsid w:val="44E669B1"/>
    <w:rsid w:val="4FBD8C80"/>
    <w:rsid w:val="743F01E7"/>
    <w:rsid w:val="B8EFE964"/>
    <w:rsid w:val="BDFFFB1E"/>
    <w:rsid w:val="E9F63748"/>
    <w:rsid w:val="FF8FC2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Office_12.1.23540.23540_F1E327BC-269C-435d-A152-05C5408002CA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2025-11-22T23:03:00Z</dcterms:created>
  <dc:creator>内山伶</dc:creator>
  <cp:lastModifiedBy>内山伶</cp:lastModifiedBy>
  <dcterms:modified xsi:type="dcterms:W3CDTF">2025-11-23T14:14:57Z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2052-12.1.23540.23540</vt:lpwstr>
  </property>
  <property fmtid="{D5CDD505-2E9C-101B-9397-08002B2CF9AE}" pid="3" name="ICV">
    <vt:lpwstr>2EE80BB17332BE9CCA2D1F699A8A4043_41</vt:lpwstr>
  </property>
</Properties>
</file>